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val="0"/>
        <w:keepLines/>
        <w:pageBreakBefore w:val="0"/>
        <w:widowControl w:val="0"/>
        <w:tabs>
          <w:tab w:val="right" w:pos="10440"/>
          <w:tab w:val="right" w:pos="13323"/>
        </w:tabs>
        <w:kinsoku/>
        <w:wordWrap/>
        <w:overflowPunct/>
        <w:topLinePunct w:val="0"/>
        <w:autoSpaceDE/>
        <w:autoSpaceDN/>
        <w:bidi w:val="0"/>
        <w:adjustRightInd/>
        <w:snapToGrid/>
        <w:spacing w:after="0"/>
        <w:textAlignment w:val="auto"/>
        <w:rPr>
          <w:rFonts w:hint="default" w:ascii="Arial" w:hAnsi="Arial" w:eastAsia="宋体" w:cs="Arial"/>
          <w:b/>
          <w:color w:val="auto"/>
          <w:sz w:val="24"/>
          <w:szCs w:val="24"/>
          <w:highlight w:val="none"/>
          <w:lang w:val="en-US" w:eastAsia="zh-CN"/>
        </w:rPr>
      </w:pPr>
      <w:bookmarkStart w:id="0" w:name="_Hlt450051172"/>
      <w:bookmarkEnd w:id="0"/>
      <w:bookmarkStart w:id="1" w:name="_Hlt449016246"/>
      <w:bookmarkEnd w:id="1"/>
      <w:bookmarkStart w:id="2" w:name="_Hlt450066085"/>
      <w:bookmarkEnd w:id="2"/>
      <w:bookmarkStart w:id="3" w:name="_Hlt448930105"/>
      <w:bookmarkEnd w:id="3"/>
      <w:bookmarkStart w:id="4" w:name="DocumentFor"/>
      <w:bookmarkEnd w:id="4"/>
      <w:bookmarkStart w:id="5" w:name="_Hlt450039480"/>
      <w:bookmarkEnd w:id="5"/>
      <w:bookmarkStart w:id="6" w:name="_Hlt450066087"/>
      <w:bookmarkEnd w:id="6"/>
      <w:bookmarkStart w:id="7" w:name="Title"/>
      <w:bookmarkEnd w:id="7"/>
      <w:bookmarkStart w:id="8" w:name="_Toc193024528"/>
      <w:r>
        <w:rPr>
          <w:rFonts w:ascii="Arial" w:hAnsi="Arial" w:cs="Arial"/>
          <w:b/>
          <w:sz w:val="24"/>
          <w:szCs w:val="24"/>
        </w:rPr>
        <w:t>3GPP TSG-RAN WG4 Meeting #</w:t>
      </w:r>
      <w:r>
        <w:t xml:space="preserve"> </w:t>
      </w:r>
      <w:r>
        <w:rPr>
          <w:rFonts w:hint="eastAsia" w:eastAsia="宋体" w:cs="Arial"/>
          <w:b/>
          <w:sz w:val="24"/>
          <w:szCs w:val="24"/>
          <w:lang w:val="en-US" w:eastAsia="zh-CN"/>
        </w:rPr>
        <w:t>103</w:t>
      </w:r>
      <w:r>
        <w:rPr>
          <w:rFonts w:ascii="Arial" w:hAnsi="Arial" w:cs="Arial"/>
          <w:b/>
          <w:sz w:val="24"/>
          <w:szCs w:val="24"/>
        </w:rPr>
        <w:t>-e</w:t>
      </w:r>
      <w:r>
        <w:rPr>
          <w:rFonts w:ascii="Arial" w:hAnsi="Arial" w:cs="Arial"/>
          <w:b/>
          <w:color w:val="auto"/>
          <w:sz w:val="24"/>
          <w:szCs w:val="24"/>
          <w:highlight w:val="none"/>
        </w:rPr>
        <w:t xml:space="preserve"> </w:t>
      </w:r>
      <w:r>
        <w:rPr>
          <w:rFonts w:hint="eastAsia" w:ascii="Arial" w:hAnsi="Arial" w:eastAsia="宋体" w:cs="Arial"/>
          <w:b/>
          <w:color w:val="auto"/>
          <w:sz w:val="24"/>
          <w:szCs w:val="24"/>
          <w:highlight w:val="none"/>
          <w:lang w:val="en-US" w:eastAsia="zh-CN"/>
        </w:rPr>
        <w:t xml:space="preserve">                                                          </w:t>
      </w:r>
      <w:r>
        <w:rPr>
          <w:rFonts w:ascii="Arial" w:hAnsi="Arial" w:cs="Arial"/>
          <w:b/>
          <w:color w:val="auto"/>
          <w:sz w:val="24"/>
          <w:szCs w:val="24"/>
          <w:highlight w:val="none"/>
        </w:rPr>
        <w:t>R4-</w:t>
      </w:r>
      <w:r>
        <w:rPr>
          <w:rFonts w:hint="eastAsia" w:ascii="Arial" w:hAnsi="Arial" w:cs="Arial"/>
          <w:b/>
          <w:color w:val="auto"/>
          <w:sz w:val="24"/>
          <w:szCs w:val="24"/>
          <w:highlight w:val="none"/>
        </w:rPr>
        <w:t>2208380</w:t>
      </w:r>
    </w:p>
    <w:p>
      <w:pPr>
        <w:pStyle w:val="53"/>
        <w:keepNext w:val="0"/>
        <w:pageBreakBefore w:val="0"/>
        <w:widowControl w:val="0"/>
        <w:tabs>
          <w:tab w:val="right" w:pos="9781"/>
          <w:tab w:val="right" w:pos="13323"/>
        </w:tabs>
        <w:kinsoku/>
        <w:wordWrap/>
        <w:overflowPunct/>
        <w:topLinePunct w:val="0"/>
        <w:autoSpaceDE/>
        <w:autoSpaceDN/>
        <w:bidi w:val="0"/>
        <w:adjustRightInd/>
        <w:snapToGrid/>
        <w:spacing w:after="0"/>
        <w:textAlignment w:val="auto"/>
        <w:outlineLvl w:val="0"/>
        <w:rPr>
          <w:rFonts w:hint="eastAsia" w:ascii="Arial" w:hAnsi="Arial" w:eastAsia="宋体"/>
          <w:b/>
          <w:color w:val="auto"/>
          <w:sz w:val="24"/>
          <w:szCs w:val="24"/>
          <w:highlight w:val="none"/>
          <w:lang w:eastAsia="zh-CN"/>
        </w:rPr>
      </w:pPr>
      <w:r>
        <w:rPr>
          <w:rFonts w:ascii="Arial" w:hAnsi="Arial" w:eastAsia="宋体" w:cs="Arial"/>
          <w:b/>
          <w:sz w:val="24"/>
          <w:szCs w:val="24"/>
          <w:lang w:eastAsia="zh-CN"/>
        </w:rPr>
        <w:t xml:space="preserve">Electronic Meeting, </w:t>
      </w:r>
      <w:r>
        <w:rPr>
          <w:rFonts w:hint="eastAsia" w:eastAsia="宋体" w:cs="Arial"/>
          <w:b/>
          <w:sz w:val="24"/>
          <w:szCs w:val="24"/>
          <w:lang w:val="en-US" w:eastAsia="zh-CN"/>
        </w:rPr>
        <w:t>May 9-20</w:t>
      </w:r>
      <w:r>
        <w:rPr>
          <w:rFonts w:ascii="Arial" w:hAnsi="Arial" w:eastAsia="宋体" w:cs="Arial"/>
          <w:b/>
          <w:sz w:val="24"/>
          <w:szCs w:val="24"/>
          <w:lang w:eastAsia="zh-CN"/>
        </w:rPr>
        <w:t>, 202</w:t>
      </w:r>
      <w:r>
        <w:rPr>
          <w:rFonts w:hint="eastAsia" w:eastAsia="宋体" w:cs="Arial"/>
          <w:b/>
          <w:sz w:val="24"/>
          <w:szCs w:val="24"/>
          <w:lang w:val="en-US" w:eastAsia="zh-CN"/>
        </w:rPr>
        <w:t>2</w:t>
      </w:r>
    </w:p>
    <w:p>
      <w:pPr>
        <w:pStyle w:val="53"/>
        <w:tabs>
          <w:tab w:val="right" w:pos="9781"/>
          <w:tab w:val="right" w:pos="13323"/>
        </w:tabs>
        <w:spacing w:after="0"/>
        <w:outlineLvl w:val="0"/>
        <w:rPr>
          <w:rFonts w:hint="eastAsia" w:ascii="Arial" w:hAnsi="Arial" w:eastAsia="宋体" w:cs="Arial"/>
          <w:b/>
          <w:strike w:val="0"/>
          <w:color w:val="auto"/>
          <w:sz w:val="24"/>
          <w:szCs w:val="24"/>
          <w:highlight w:val="none"/>
          <w:lang w:val="en-US" w:eastAsia="zh-CN"/>
        </w:rPr>
      </w:pPr>
    </w:p>
    <w:p>
      <w:pPr>
        <w:pStyle w:val="53"/>
        <w:tabs>
          <w:tab w:val="left" w:pos="2165"/>
        </w:tabs>
        <w:spacing w:after="48" w:afterLines="20"/>
        <w:ind w:left="2127" w:hanging="2127"/>
        <w:jc w:val="both"/>
        <w:rPr>
          <w:rFonts w:hint="eastAsia" w:eastAsia="宋体"/>
          <w:color w:val="auto"/>
          <w:sz w:val="24"/>
          <w:szCs w:val="24"/>
          <w:highlight w:val="none"/>
          <w:lang w:val="en-US" w:eastAsia="zh-CN"/>
        </w:rPr>
      </w:pPr>
      <w:r>
        <w:rPr>
          <w:color w:val="auto"/>
          <w:sz w:val="24"/>
          <w:szCs w:val="24"/>
          <w:highlight w:val="none"/>
          <w:lang w:eastAsia="zh-CN"/>
        </w:rPr>
        <w:t>Source</w:t>
      </w:r>
      <w:r>
        <w:rPr>
          <w:rFonts w:hint="eastAsia" w:eastAsia="宋体"/>
          <w:color w:val="auto"/>
          <w:sz w:val="24"/>
          <w:szCs w:val="24"/>
          <w:highlight w:val="none"/>
          <w:lang w:eastAsia="zh-CN"/>
        </w:rPr>
        <w:t>:</w:t>
      </w:r>
      <w:r>
        <w:rPr>
          <w:rFonts w:hint="eastAsia" w:eastAsia="宋体"/>
          <w:color w:val="auto"/>
          <w:sz w:val="24"/>
          <w:szCs w:val="24"/>
          <w:highlight w:val="none"/>
          <w:lang w:eastAsia="zh-CN"/>
        </w:rPr>
        <w:tab/>
      </w:r>
      <w:r>
        <w:rPr>
          <w:rFonts w:eastAsia="宋体"/>
          <w:b w:val="0"/>
          <w:color w:val="auto"/>
          <w:sz w:val="24"/>
          <w:szCs w:val="24"/>
          <w:highlight w:val="none"/>
          <w:lang w:eastAsia="zh-CN"/>
        </w:rPr>
        <w:t>ZTE</w:t>
      </w:r>
      <w:r>
        <w:rPr>
          <w:rFonts w:hint="eastAsia" w:eastAsia="宋体"/>
          <w:b w:val="0"/>
          <w:color w:val="auto"/>
          <w:sz w:val="24"/>
          <w:szCs w:val="24"/>
          <w:highlight w:val="none"/>
          <w:lang w:eastAsia="zh-CN"/>
        </w:rPr>
        <w:t xml:space="preserve"> Corporation</w:t>
      </w:r>
    </w:p>
    <w:p>
      <w:pPr>
        <w:pStyle w:val="53"/>
        <w:spacing w:after="48" w:afterLines="20"/>
        <w:ind w:left="2127" w:hanging="2127"/>
        <w:jc w:val="both"/>
        <w:rPr>
          <w:rFonts w:hint="default" w:eastAsia="宋体"/>
          <w:b w:val="0"/>
          <w:color w:val="auto"/>
          <w:sz w:val="24"/>
          <w:szCs w:val="24"/>
          <w:highlight w:val="none"/>
          <w:lang w:val="en-US" w:eastAsia="zh-CN"/>
        </w:rPr>
      </w:pPr>
      <w:r>
        <w:rPr>
          <w:color w:val="auto"/>
          <w:sz w:val="24"/>
          <w:szCs w:val="24"/>
          <w:highlight w:val="none"/>
          <w:lang w:val="en-US" w:eastAsia="zh-CN"/>
        </w:rPr>
        <w:t>Title:</w:t>
      </w:r>
      <w:r>
        <w:rPr>
          <w:rFonts w:hint="eastAsia"/>
          <w:color w:val="auto"/>
          <w:sz w:val="24"/>
          <w:szCs w:val="24"/>
          <w:highlight w:val="none"/>
          <w:lang w:val="en-US" w:eastAsia="zh-CN"/>
        </w:rPr>
        <w:tab/>
      </w:r>
      <w:r>
        <w:rPr>
          <w:rFonts w:hint="eastAsia"/>
          <w:b w:val="0"/>
          <w:bCs/>
          <w:color w:val="auto"/>
          <w:sz w:val="24"/>
          <w:szCs w:val="24"/>
          <w:highlight w:val="none"/>
          <w:lang w:val="en-US" w:eastAsia="zh-CN"/>
        </w:rPr>
        <w:t>D</w:t>
      </w:r>
      <w:r>
        <w:rPr>
          <w:rFonts w:hint="eastAsia" w:eastAsia="宋体"/>
          <w:b w:val="0"/>
          <w:bCs/>
          <w:color w:val="auto"/>
          <w:sz w:val="24"/>
          <w:szCs w:val="24"/>
          <w:highlight w:val="none"/>
          <w:lang w:val="en-US" w:eastAsia="zh-CN"/>
        </w:rPr>
        <w:t>iscussion on highest frequency and measurement uncertainty for NR BS radiated emission test with big size EUT</w:t>
      </w:r>
    </w:p>
    <w:p>
      <w:pPr>
        <w:pStyle w:val="53"/>
        <w:tabs>
          <w:tab w:val="left" w:pos="2155"/>
        </w:tabs>
        <w:spacing w:after="48" w:afterLines="20"/>
        <w:ind w:left="2610" w:hanging="2610"/>
        <w:jc w:val="both"/>
        <w:rPr>
          <w:rFonts w:hint="default" w:eastAsia="宋体"/>
          <w:b w:val="0"/>
          <w:color w:val="auto"/>
          <w:sz w:val="24"/>
          <w:szCs w:val="24"/>
          <w:highlight w:val="none"/>
          <w:lang w:val="en-US" w:eastAsia="zh-CN"/>
        </w:rPr>
      </w:pPr>
      <w:r>
        <w:rPr>
          <w:color w:val="auto"/>
          <w:sz w:val="24"/>
          <w:szCs w:val="24"/>
          <w:highlight w:val="none"/>
          <w:lang w:eastAsia="zh-CN"/>
        </w:rPr>
        <w:t>Agenda Item:</w:t>
      </w:r>
      <w:r>
        <w:rPr>
          <w:rFonts w:hint="eastAsia"/>
          <w:color w:val="auto"/>
          <w:sz w:val="24"/>
          <w:szCs w:val="24"/>
          <w:highlight w:val="none"/>
          <w:lang w:eastAsia="zh-CN"/>
        </w:rPr>
        <w:tab/>
      </w:r>
      <w:r>
        <w:rPr>
          <w:rFonts w:hint="eastAsia" w:eastAsia="宋体"/>
          <w:b w:val="0"/>
          <w:color w:val="auto"/>
          <w:sz w:val="24"/>
          <w:szCs w:val="24"/>
          <w:highlight w:val="none"/>
          <w:lang w:val="en-US" w:eastAsia="zh-CN"/>
        </w:rPr>
        <w:t>4.1.4</w:t>
      </w:r>
      <w:bookmarkStart w:id="17" w:name="_GoBack"/>
      <w:bookmarkEnd w:id="17"/>
    </w:p>
    <w:p>
      <w:pPr>
        <w:pStyle w:val="53"/>
        <w:tabs>
          <w:tab w:val="left" w:pos="2160"/>
        </w:tabs>
        <w:spacing w:after="48" w:afterLines="20"/>
        <w:ind w:left="2610" w:hanging="2610"/>
        <w:jc w:val="both"/>
        <w:rPr>
          <w:rFonts w:hint="eastAsia" w:eastAsia="宋体"/>
          <w:color w:val="auto"/>
          <w:sz w:val="20"/>
          <w:highlight w:val="none"/>
          <w:lang w:eastAsia="zh-CN"/>
        </w:rPr>
      </w:pPr>
      <w:r>
        <w:rPr>
          <w:color w:val="auto"/>
          <w:sz w:val="24"/>
          <w:szCs w:val="24"/>
          <w:highlight w:val="none"/>
          <w:lang w:eastAsia="zh-CN"/>
        </w:rPr>
        <w:t>Document for:</w:t>
      </w:r>
      <w:r>
        <w:rPr>
          <w:rFonts w:hint="eastAsia"/>
          <w:color w:val="auto"/>
          <w:sz w:val="24"/>
          <w:szCs w:val="24"/>
          <w:highlight w:val="none"/>
          <w:lang w:eastAsia="zh-CN"/>
        </w:rPr>
        <w:tab/>
      </w:r>
      <w:r>
        <w:rPr>
          <w:rFonts w:hint="eastAsia" w:eastAsia="宋体"/>
          <w:b w:val="0"/>
          <w:color w:val="auto"/>
          <w:sz w:val="24"/>
          <w:szCs w:val="24"/>
          <w:highlight w:val="none"/>
          <w:lang w:eastAsia="zh-CN"/>
        </w:rPr>
        <w:t>Approval</w:t>
      </w:r>
    </w:p>
    <w:p>
      <w:pPr>
        <w:pStyle w:val="2"/>
        <w:numPr>
          <w:ilvl w:val="0"/>
          <w:numId w:val="11"/>
        </w:numPr>
        <w:rPr>
          <w:b/>
          <w:color w:val="auto"/>
          <w:sz w:val="36"/>
          <w:szCs w:val="36"/>
          <w:highlight w:val="none"/>
        </w:rPr>
      </w:pPr>
      <w:r>
        <w:rPr>
          <w:rFonts w:hint="eastAsia" w:eastAsia="宋体"/>
          <w:b/>
          <w:color w:val="auto"/>
          <w:sz w:val="36"/>
          <w:szCs w:val="36"/>
          <w:highlight w:val="none"/>
          <w:lang w:eastAsia="zh-CN"/>
        </w:rPr>
        <w:t>Introduction</w:t>
      </w:r>
    </w:p>
    <w:p>
      <w:pPr>
        <w:rPr>
          <w:rFonts w:hint="eastAsia"/>
          <w:b w:val="0"/>
          <w:bCs w:val="0"/>
          <w:color w:val="auto"/>
          <w:sz w:val="20"/>
          <w:szCs w:val="20"/>
          <w:lang w:val="en-US" w:eastAsia="zh-CN"/>
        </w:rPr>
      </w:pPr>
      <w:r>
        <w:rPr>
          <w:rFonts w:hint="eastAsia"/>
          <w:b w:val="0"/>
          <w:bCs w:val="0"/>
          <w:color w:val="auto"/>
          <w:sz w:val="20"/>
          <w:szCs w:val="20"/>
          <w:lang w:val="en-US" w:eastAsia="zh-CN"/>
        </w:rPr>
        <w:t xml:space="preserve">In RAN4 #102-e meeting, further discussion on highest frequency and measurement uncertainty for NR BS radiated emission test was provided. Generally all companies agreed that the frequency range of MU should be extended up to 26GHz, but there is not enough analysis for MU=9dB with big size EUT (&gt;1m). </w:t>
      </w:r>
    </w:p>
    <w:p>
      <w:pPr>
        <w:rPr>
          <w:rFonts w:hint="eastAsia"/>
          <w:b w:val="0"/>
          <w:bCs w:val="0"/>
          <w:color w:val="auto"/>
          <w:sz w:val="20"/>
          <w:szCs w:val="20"/>
          <w:lang w:val="en-US" w:eastAsia="zh-CN"/>
        </w:rPr>
      </w:pPr>
      <w:r>
        <w:rPr>
          <w:rFonts w:hint="eastAsia"/>
          <w:b w:val="0"/>
          <w:bCs w:val="0"/>
          <w:color w:val="auto"/>
          <w:sz w:val="20"/>
          <w:szCs w:val="20"/>
          <w:lang w:val="en-US" w:eastAsia="zh-CN"/>
        </w:rPr>
        <w:t>The</w:t>
      </w:r>
      <w:r>
        <w:rPr>
          <w:rFonts w:hint="default"/>
          <w:b w:val="0"/>
          <w:bCs w:val="0"/>
          <w:color w:val="auto"/>
          <w:sz w:val="20"/>
          <w:szCs w:val="20"/>
          <w:lang w:val="en-US" w:eastAsia="zh-CN"/>
        </w:rPr>
        <w:t xml:space="preserve"> WF</w:t>
      </w:r>
      <w:r>
        <w:rPr>
          <w:rFonts w:hint="eastAsia"/>
          <w:b w:val="0"/>
          <w:bCs w:val="0"/>
          <w:color w:val="auto"/>
          <w:sz w:val="20"/>
          <w:szCs w:val="20"/>
          <w:lang w:val="en-US" w:eastAsia="zh-CN"/>
        </w:rPr>
        <w:t xml:space="preserve"> R4-2207188 </w:t>
      </w:r>
      <w:r>
        <w:rPr>
          <w:rFonts w:hint="default"/>
          <w:b w:val="0"/>
          <w:bCs w:val="0"/>
          <w:color w:val="auto"/>
          <w:sz w:val="20"/>
          <w:szCs w:val="20"/>
          <w:lang w:val="en-US" w:eastAsia="zh-CN"/>
        </w:rPr>
        <w:t>[1]</w:t>
      </w:r>
      <w:r>
        <w:rPr>
          <w:rFonts w:hint="eastAsia"/>
          <w:b w:val="0"/>
          <w:bCs w:val="0"/>
          <w:color w:val="auto"/>
          <w:sz w:val="20"/>
          <w:szCs w:val="20"/>
          <w:lang w:val="en-US" w:eastAsia="zh-CN"/>
        </w:rPr>
        <w:t xml:space="preserve"> for MU valu</w:t>
      </w:r>
      <w:r>
        <w:rPr>
          <w:rFonts w:hint="eastAsia" w:eastAsia="宋体" w:cs="Times New Roman"/>
          <w:b w:val="0"/>
          <w:bCs w:val="0"/>
          <w:color w:val="auto"/>
          <w:sz w:val="20"/>
          <w:szCs w:val="20"/>
          <w:lang w:val="en-US" w:eastAsia="zh-CN"/>
        </w:rPr>
        <w:t>e of BS radiated emission was</w:t>
      </w:r>
      <w:r>
        <w:rPr>
          <w:rFonts w:hint="default" w:ascii="Times New Roman" w:hAnsi="Times New Roman" w:eastAsia="宋体" w:cs="Times New Roman"/>
          <w:b w:val="0"/>
          <w:bCs w:val="0"/>
          <w:color w:val="auto"/>
          <w:sz w:val="20"/>
          <w:szCs w:val="20"/>
          <w:lang w:val="en-US" w:eastAsia="zh-CN"/>
        </w:rPr>
        <w:t xml:space="preserve"> </w:t>
      </w:r>
      <w:r>
        <w:rPr>
          <w:rFonts w:hint="eastAsia" w:eastAsia="宋体" w:cs="Times New Roman"/>
          <w:b w:val="0"/>
          <w:bCs w:val="0"/>
          <w:color w:val="auto"/>
          <w:sz w:val="20"/>
          <w:szCs w:val="20"/>
          <w:lang w:val="en-US" w:eastAsia="zh-CN"/>
        </w:rPr>
        <w:t>raised in last meeting, which is shown as below.</w:t>
      </w:r>
    </w:p>
    <w:p>
      <w:pPr>
        <w:pStyle w:val="3"/>
        <w:numPr>
          <w:ilvl w:val="1"/>
          <w:numId w:val="0"/>
        </w:numPr>
        <w:tabs>
          <w:tab w:val="clear" w:pos="0"/>
        </w:tabs>
        <w:ind w:firstLine="200" w:firstLineChars="100"/>
        <w:rPr>
          <w:i/>
          <w:iCs/>
          <w:sz w:val="20"/>
          <w:szCs w:val="20"/>
          <w:lang w:val="en-US" w:eastAsia="zh-CN"/>
        </w:rPr>
      </w:pPr>
      <w:r>
        <w:rPr>
          <w:i/>
          <w:iCs/>
          <w:sz w:val="20"/>
          <w:szCs w:val="20"/>
          <w:lang w:eastAsia="ko-KR"/>
        </w:rPr>
        <w:t xml:space="preserve">WF on </w:t>
      </w:r>
      <w:r>
        <w:rPr>
          <w:rFonts w:hint="eastAsia"/>
          <w:i/>
          <w:iCs/>
          <w:sz w:val="20"/>
          <w:szCs w:val="20"/>
          <w:lang w:val="en-US" w:eastAsia="zh-CN"/>
        </w:rPr>
        <w:t>MU value between 12.75 GHz and 26 GHz for BS EMC</w:t>
      </w:r>
    </w:p>
    <w:p>
      <w:pPr>
        <w:numPr>
          <w:ilvl w:val="0"/>
          <w:numId w:val="12"/>
        </w:numPr>
        <w:overflowPunct w:val="0"/>
        <w:autoSpaceDE w:val="0"/>
        <w:autoSpaceDN w:val="0"/>
        <w:adjustRightInd w:val="0"/>
        <w:spacing w:after="120"/>
        <w:ind w:left="584" w:hanging="227"/>
        <w:jc w:val="both"/>
        <w:textAlignment w:val="baseline"/>
        <w:rPr>
          <w:rFonts w:hint="eastAsia"/>
          <w:b w:val="0"/>
          <w:bCs w:val="0"/>
          <w:color w:val="auto"/>
          <w:sz w:val="20"/>
          <w:szCs w:val="20"/>
          <w:lang w:val="en-US" w:eastAsia="zh-CN"/>
        </w:rPr>
      </w:pPr>
      <w:r>
        <w:rPr>
          <w:rFonts w:hint="eastAsia" w:eastAsia="等线"/>
          <w:i/>
          <w:iCs/>
          <w:sz w:val="20"/>
          <w:szCs w:val="20"/>
          <w:lang w:val="en-US" w:eastAsia="zh-CN"/>
        </w:rPr>
        <w:t>FFS on the MU value between 12.75GHz and 26GHz for BS EMC. Encourage companies provide analyses in next meeting</w:t>
      </w:r>
    </w:p>
    <w:p>
      <w:pPr>
        <w:numPr>
          <w:ilvl w:val="-1"/>
          <w:numId w:val="0"/>
        </w:numPr>
        <w:overflowPunct w:val="0"/>
        <w:autoSpaceDE w:val="0"/>
        <w:autoSpaceDN w:val="0"/>
        <w:adjustRightInd w:val="0"/>
        <w:spacing w:after="120"/>
        <w:ind w:left="357" w:firstLine="0"/>
        <w:jc w:val="both"/>
        <w:textAlignment w:val="baseline"/>
        <w:rPr>
          <w:rFonts w:hint="eastAsia" w:eastAsia="等线"/>
          <w:i/>
          <w:iCs/>
          <w:sz w:val="20"/>
          <w:szCs w:val="20"/>
          <w:lang w:val="en-US" w:eastAsia="zh-CN"/>
        </w:rPr>
      </w:pPr>
      <w:r>
        <w:rPr>
          <w:rFonts w:hint="eastAsia" w:eastAsia="等线"/>
          <w:i/>
          <w:iCs/>
          <w:sz w:val="20"/>
          <w:szCs w:val="20"/>
          <w:lang w:val="en-US" w:eastAsia="zh-CN"/>
        </w:rPr>
        <w:t>Note 1: Considering it is for TEI and missing the MU value larger than 12.75GHz in Rel-15, it is important to define this value as soon as possible. It was already discussed for several meetings without agreement due to lack of analyses from other companies.</w:t>
      </w:r>
    </w:p>
    <w:p>
      <w:pPr>
        <w:numPr>
          <w:ilvl w:val="-1"/>
          <w:numId w:val="0"/>
        </w:numPr>
        <w:overflowPunct w:val="0"/>
        <w:autoSpaceDE w:val="0"/>
        <w:autoSpaceDN w:val="0"/>
        <w:adjustRightInd w:val="0"/>
        <w:spacing w:after="120"/>
        <w:ind w:left="357" w:firstLine="0"/>
        <w:jc w:val="both"/>
        <w:textAlignment w:val="baseline"/>
        <w:rPr>
          <w:rFonts w:hint="eastAsia" w:eastAsia="等线"/>
          <w:i/>
          <w:iCs/>
          <w:color w:val="auto"/>
          <w:sz w:val="20"/>
          <w:szCs w:val="20"/>
          <w:lang w:val="en-US" w:eastAsia="zh-CN"/>
        </w:rPr>
      </w:pPr>
      <w:r>
        <w:rPr>
          <w:rFonts w:hint="eastAsia" w:eastAsia="等线"/>
          <w:i/>
          <w:iCs/>
          <w:sz w:val="20"/>
          <w:szCs w:val="20"/>
          <w:lang w:val="en-US" w:eastAsia="zh-CN"/>
        </w:rPr>
        <w:t xml:space="preserve">Note 2: If there are no further analyses provided by other companies in next meeting, then the value highlighted in </w:t>
      </w:r>
      <w:r>
        <w:rPr>
          <w:rFonts w:hint="eastAsia" w:eastAsia="等线"/>
          <w:i/>
          <w:iCs/>
          <w:sz w:val="20"/>
          <w:szCs w:val="20"/>
          <w:highlight w:val="yellow"/>
          <w:lang w:val="en-US" w:eastAsia="zh-CN"/>
        </w:rPr>
        <w:t xml:space="preserve">yellow </w:t>
      </w:r>
      <w:r>
        <w:rPr>
          <w:rFonts w:hint="eastAsia" w:eastAsia="等线"/>
          <w:i/>
          <w:iCs/>
          <w:sz w:val="20"/>
          <w:szCs w:val="20"/>
          <w:lang w:val="en-US" w:eastAsia="zh-CN"/>
        </w:rPr>
        <w:t>as below table would be recommended to be agreed as the MU value between 12.75 GHz and 26 GHz for BS EMC.</w:t>
      </w:r>
    </w:p>
    <w:tbl>
      <w:tblPr>
        <w:tblStyle w:val="7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5061"/>
        <w:gridCol w:w="1896"/>
        <w:gridCol w:w="19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5061" w:type="dxa"/>
          </w:tcPr>
          <w:p>
            <w:pPr>
              <w:pStyle w:val="199"/>
              <w:rPr>
                <w:i/>
                <w:iCs/>
                <w:color w:val="auto"/>
              </w:rPr>
            </w:pPr>
            <w:r>
              <w:rPr>
                <w:i/>
                <w:iCs/>
                <w:color w:val="auto"/>
              </w:rPr>
              <w:t>Parameter</w:t>
            </w:r>
          </w:p>
        </w:tc>
        <w:tc>
          <w:tcPr>
            <w:tcW w:w="1896" w:type="dxa"/>
          </w:tcPr>
          <w:p>
            <w:pPr>
              <w:pStyle w:val="199"/>
              <w:rPr>
                <w:i/>
                <w:iCs/>
                <w:color w:val="auto"/>
              </w:rPr>
            </w:pPr>
            <w:r>
              <w:rPr>
                <w:i/>
                <w:iCs/>
                <w:color w:val="auto"/>
              </w:rPr>
              <w:t>Uncertainty for EUT dimension ≤ 1 m</w:t>
            </w:r>
          </w:p>
          <w:p>
            <w:pPr>
              <w:pStyle w:val="199"/>
              <w:rPr>
                <w:i/>
                <w:iCs/>
                <w:color w:val="auto"/>
              </w:rPr>
            </w:pPr>
            <w:r>
              <w:rPr>
                <w:b w:val="0"/>
                <w:bCs/>
                <w:i/>
                <w:iCs/>
                <w:color w:val="auto"/>
              </w:rPr>
              <w:t>(NOTE</w:t>
            </w:r>
            <w:r>
              <w:rPr>
                <w:rFonts w:hint="eastAsia" w:eastAsia="宋体"/>
                <w:b w:val="0"/>
                <w:bCs/>
                <w:i/>
                <w:iCs/>
                <w:color w:val="auto"/>
                <w:lang w:val="en-US" w:eastAsia="zh-CN"/>
              </w:rPr>
              <w:t xml:space="preserve"> 1</w:t>
            </w:r>
            <w:r>
              <w:rPr>
                <w:b w:val="0"/>
                <w:bCs/>
                <w:i/>
                <w:iCs/>
                <w:color w:val="auto"/>
              </w:rPr>
              <w:t>)</w:t>
            </w:r>
          </w:p>
        </w:tc>
        <w:tc>
          <w:tcPr>
            <w:tcW w:w="1904" w:type="dxa"/>
          </w:tcPr>
          <w:p>
            <w:pPr>
              <w:pStyle w:val="199"/>
              <w:rPr>
                <w:i/>
                <w:iCs/>
                <w:color w:val="auto"/>
              </w:rPr>
            </w:pPr>
            <w:bookmarkStart w:id="9" w:name="OLE_LINK3"/>
            <w:r>
              <w:rPr>
                <w:i/>
                <w:iCs/>
                <w:color w:val="auto"/>
              </w:rPr>
              <w:t>Uncertainty for EUT dimension &gt;1 m</w:t>
            </w:r>
          </w:p>
          <w:bookmarkEnd w:id="9"/>
          <w:p>
            <w:pPr>
              <w:pStyle w:val="199"/>
              <w:rPr>
                <w:i/>
                <w:iCs/>
                <w:color w:val="auto"/>
              </w:rPr>
            </w:pPr>
            <w:r>
              <w:rPr>
                <w:b w:val="0"/>
                <w:bCs/>
                <w:i/>
                <w:iCs/>
                <w:color w:val="auto"/>
              </w:rPr>
              <w:t>(NOTE</w:t>
            </w:r>
            <w:r>
              <w:rPr>
                <w:rFonts w:hint="eastAsia" w:eastAsia="宋体"/>
                <w:b w:val="0"/>
                <w:bCs/>
                <w:i/>
                <w:iCs/>
                <w:color w:val="auto"/>
                <w:lang w:val="en-US" w:eastAsia="zh-CN"/>
              </w:rPr>
              <w:t xml:space="preserve"> 1</w:t>
            </w:r>
            <w:r>
              <w:rPr>
                <w:b w:val="0"/>
                <w:bCs/>
                <w:i/>
                <w:iCs/>
                <w:color w:val="auto"/>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5061" w:type="dxa"/>
          </w:tcPr>
          <w:p>
            <w:pPr>
              <w:pStyle w:val="200"/>
              <w:rPr>
                <w:i/>
                <w:iCs/>
                <w:color w:val="auto"/>
              </w:rPr>
            </w:pPr>
            <w:r>
              <w:rPr>
                <w:i/>
                <w:iCs/>
                <w:color w:val="auto"/>
              </w:rPr>
              <w:t xml:space="preserve">Effective radiated RF power between 30 MHz </w:t>
            </w:r>
            <w:r>
              <w:rPr>
                <w:rFonts w:hint="eastAsia" w:eastAsia="宋体"/>
                <w:i/>
                <w:iCs/>
                <w:color w:val="auto"/>
                <w:lang w:val="en-US" w:eastAsia="zh-CN"/>
              </w:rPr>
              <w:t>and</w:t>
            </w:r>
            <w:r>
              <w:rPr>
                <w:i/>
                <w:iCs/>
                <w:color w:val="auto"/>
              </w:rPr>
              <w:t xml:space="preserve"> 180 MHz</w:t>
            </w:r>
          </w:p>
        </w:tc>
        <w:tc>
          <w:tcPr>
            <w:tcW w:w="1896" w:type="dxa"/>
            <w:vAlign w:val="center"/>
          </w:tcPr>
          <w:p>
            <w:pPr>
              <w:pStyle w:val="200"/>
              <w:rPr>
                <w:i/>
                <w:iCs/>
                <w:color w:val="auto"/>
              </w:rPr>
            </w:pPr>
            <w:r>
              <w:rPr>
                <w:i/>
                <w:iCs/>
                <w:color w:val="auto"/>
              </w:rPr>
              <w:sym w:font="Symbol" w:char="F0B1"/>
            </w:r>
            <w:r>
              <w:rPr>
                <w:i/>
                <w:iCs/>
                <w:color w:val="auto"/>
              </w:rPr>
              <w:t>6 dB</w:t>
            </w:r>
          </w:p>
        </w:tc>
        <w:tc>
          <w:tcPr>
            <w:tcW w:w="1904" w:type="dxa"/>
            <w:vAlign w:val="center"/>
          </w:tcPr>
          <w:p>
            <w:pPr>
              <w:pStyle w:val="200"/>
              <w:rPr>
                <w:i/>
                <w:iCs/>
                <w:color w:val="auto"/>
              </w:rPr>
            </w:pPr>
            <w:r>
              <w:rPr>
                <w:i/>
                <w:iCs/>
                <w:color w:val="auto"/>
              </w:rPr>
              <w:sym w:font="Symbol" w:char="F0B1"/>
            </w:r>
            <w:r>
              <w:rPr>
                <w:i/>
                <w:iCs/>
                <w:color w:val="auto"/>
              </w:rPr>
              <w:t>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5061" w:type="dxa"/>
          </w:tcPr>
          <w:p>
            <w:pPr>
              <w:pStyle w:val="200"/>
              <w:rPr>
                <w:i/>
                <w:iCs/>
                <w:color w:val="auto"/>
              </w:rPr>
            </w:pPr>
            <w:r>
              <w:rPr>
                <w:i/>
                <w:iCs/>
                <w:color w:val="auto"/>
              </w:rPr>
              <w:t xml:space="preserve">Effective radiated RF power between 180 MHz </w:t>
            </w:r>
            <w:r>
              <w:rPr>
                <w:rFonts w:hint="eastAsia" w:eastAsia="宋体"/>
                <w:i/>
                <w:iCs/>
                <w:color w:val="auto"/>
                <w:lang w:val="en-US" w:eastAsia="zh-CN"/>
              </w:rPr>
              <w:t>and</w:t>
            </w:r>
            <w:r>
              <w:rPr>
                <w:i/>
                <w:iCs/>
                <w:color w:val="auto"/>
              </w:rPr>
              <w:t xml:space="preserve"> 4 GHz</w:t>
            </w:r>
          </w:p>
        </w:tc>
        <w:tc>
          <w:tcPr>
            <w:tcW w:w="1896" w:type="dxa"/>
            <w:vAlign w:val="center"/>
          </w:tcPr>
          <w:p>
            <w:pPr>
              <w:pStyle w:val="200"/>
              <w:rPr>
                <w:i/>
                <w:iCs/>
                <w:color w:val="auto"/>
              </w:rPr>
            </w:pPr>
            <w:r>
              <w:rPr>
                <w:i/>
                <w:iCs/>
                <w:color w:val="auto"/>
              </w:rPr>
              <w:sym w:font="Symbol" w:char="F0B1"/>
            </w:r>
            <w:r>
              <w:rPr>
                <w:i/>
                <w:iCs/>
                <w:color w:val="auto"/>
              </w:rPr>
              <w:t>4 dB</w:t>
            </w:r>
          </w:p>
        </w:tc>
        <w:tc>
          <w:tcPr>
            <w:tcW w:w="1904" w:type="dxa"/>
            <w:vAlign w:val="center"/>
          </w:tcPr>
          <w:p>
            <w:pPr>
              <w:pStyle w:val="200"/>
              <w:rPr>
                <w:i/>
                <w:iCs/>
                <w:color w:val="auto"/>
              </w:rPr>
            </w:pPr>
            <w:r>
              <w:rPr>
                <w:i/>
                <w:iCs/>
                <w:color w:val="auto"/>
              </w:rPr>
              <w:sym w:font="Symbol" w:char="F0B1"/>
            </w:r>
            <w:r>
              <w:rPr>
                <w:i/>
                <w:iCs/>
                <w:color w:val="auto"/>
              </w:rPr>
              <w:t>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5061" w:type="dxa"/>
          </w:tcPr>
          <w:p>
            <w:pPr>
              <w:pStyle w:val="200"/>
              <w:rPr>
                <w:i/>
                <w:iCs/>
                <w:color w:val="auto"/>
              </w:rPr>
            </w:pPr>
            <w:r>
              <w:rPr>
                <w:i/>
                <w:iCs/>
                <w:color w:val="auto"/>
              </w:rPr>
              <w:t xml:space="preserve">Effective radiated RF power between 4 GHz </w:t>
            </w:r>
            <w:r>
              <w:rPr>
                <w:rFonts w:hint="eastAsia" w:eastAsia="宋体"/>
                <w:i/>
                <w:iCs/>
                <w:color w:val="auto"/>
                <w:lang w:val="en-US" w:eastAsia="zh-CN"/>
              </w:rPr>
              <w:t>and</w:t>
            </w:r>
            <w:r>
              <w:rPr>
                <w:i/>
                <w:iCs/>
                <w:color w:val="auto"/>
              </w:rPr>
              <w:t xml:space="preserve"> 12,75 GHz</w:t>
            </w:r>
          </w:p>
        </w:tc>
        <w:tc>
          <w:tcPr>
            <w:tcW w:w="1896" w:type="dxa"/>
            <w:vAlign w:val="center"/>
          </w:tcPr>
          <w:p>
            <w:pPr>
              <w:pStyle w:val="200"/>
              <w:rPr>
                <w:i/>
                <w:iCs/>
                <w:color w:val="auto"/>
              </w:rPr>
            </w:pPr>
            <w:r>
              <w:rPr>
                <w:i/>
                <w:iCs/>
                <w:color w:val="auto"/>
              </w:rPr>
              <w:sym w:font="Symbol" w:char="F0B1"/>
            </w:r>
            <w:r>
              <w:rPr>
                <w:i/>
                <w:iCs/>
                <w:color w:val="auto"/>
              </w:rPr>
              <w:t>6 dB</w:t>
            </w:r>
          </w:p>
        </w:tc>
        <w:tc>
          <w:tcPr>
            <w:tcW w:w="1904" w:type="dxa"/>
            <w:vAlign w:val="center"/>
          </w:tcPr>
          <w:p>
            <w:pPr>
              <w:pStyle w:val="200"/>
              <w:rPr>
                <w:i/>
                <w:iCs/>
                <w:color w:val="auto"/>
              </w:rPr>
            </w:pPr>
            <w:r>
              <w:rPr>
                <w:i/>
                <w:iCs/>
                <w:color w:val="auto"/>
              </w:rPr>
              <w:sym w:font="Symbol" w:char="F0B1"/>
            </w:r>
            <w:r>
              <w:rPr>
                <w:i/>
                <w:iCs/>
                <w:color w:val="auto"/>
              </w:rPr>
              <w:t>9 dB (NOTE</w:t>
            </w:r>
            <w:r>
              <w:rPr>
                <w:rFonts w:hint="eastAsia" w:eastAsia="宋体"/>
                <w:i/>
                <w:iCs/>
                <w:color w:val="auto"/>
                <w:lang w:val="en-US" w:eastAsia="zh-CN"/>
              </w:rPr>
              <w:t xml:space="preserve"> 2</w:t>
            </w:r>
            <w:r>
              <w:rPr>
                <w:i/>
                <w:iCs/>
                <w:color w:val="auto"/>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5061" w:type="dxa"/>
          </w:tcPr>
          <w:p>
            <w:pPr>
              <w:pStyle w:val="200"/>
              <w:rPr>
                <w:i/>
                <w:iCs/>
                <w:color w:val="auto"/>
              </w:rPr>
            </w:pPr>
            <w:bookmarkStart w:id="10" w:name="OLE_LINK8"/>
            <w:r>
              <w:rPr>
                <w:i/>
                <w:iCs/>
                <w:color w:val="auto"/>
              </w:rPr>
              <w:t xml:space="preserve">Effective radiated RF power between 12,75 GHz </w:t>
            </w:r>
            <w:r>
              <w:rPr>
                <w:rFonts w:hint="eastAsia" w:eastAsia="宋体"/>
                <w:i/>
                <w:iCs/>
                <w:color w:val="auto"/>
                <w:lang w:val="en-US" w:eastAsia="zh-CN"/>
              </w:rPr>
              <w:t>and</w:t>
            </w:r>
            <w:r>
              <w:rPr>
                <w:i/>
                <w:iCs/>
                <w:color w:val="auto"/>
              </w:rPr>
              <w:t xml:space="preserve"> </w:t>
            </w:r>
            <w:r>
              <w:rPr>
                <w:rFonts w:hint="eastAsia" w:eastAsia="宋体"/>
                <w:i/>
                <w:iCs/>
                <w:color w:val="auto"/>
                <w:lang w:val="en-US" w:eastAsia="zh-CN"/>
              </w:rPr>
              <w:t>26</w:t>
            </w:r>
            <w:r>
              <w:rPr>
                <w:i/>
                <w:iCs/>
                <w:color w:val="auto"/>
              </w:rPr>
              <w:t xml:space="preserve"> GHz</w:t>
            </w:r>
            <w:bookmarkEnd w:id="10"/>
          </w:p>
        </w:tc>
        <w:tc>
          <w:tcPr>
            <w:tcW w:w="1896" w:type="dxa"/>
            <w:vAlign w:val="center"/>
          </w:tcPr>
          <w:p>
            <w:pPr>
              <w:pStyle w:val="200"/>
              <w:rPr>
                <w:i/>
                <w:iCs/>
                <w:color w:val="auto"/>
              </w:rPr>
            </w:pPr>
            <w:r>
              <w:rPr>
                <w:i/>
                <w:iCs/>
                <w:color w:val="auto"/>
                <w:highlight w:val="yellow"/>
              </w:rPr>
              <w:sym w:font="Symbol" w:char="F0B1"/>
            </w:r>
            <w:r>
              <w:rPr>
                <w:i/>
                <w:iCs/>
                <w:color w:val="auto"/>
                <w:highlight w:val="yellow"/>
              </w:rPr>
              <w:t>6 dB</w:t>
            </w:r>
          </w:p>
        </w:tc>
        <w:tc>
          <w:tcPr>
            <w:tcW w:w="1904" w:type="dxa"/>
            <w:vAlign w:val="center"/>
          </w:tcPr>
          <w:p>
            <w:pPr>
              <w:pStyle w:val="200"/>
              <w:rPr>
                <w:i/>
                <w:iCs/>
                <w:color w:val="auto"/>
              </w:rPr>
            </w:pPr>
            <w:r>
              <w:rPr>
                <w:i/>
                <w:iCs/>
                <w:color w:val="auto"/>
                <w:highlight w:val="yellow"/>
              </w:rPr>
              <w:sym w:font="Symbol" w:char="F0B1"/>
            </w:r>
            <w:r>
              <w:rPr>
                <w:i/>
                <w:iCs/>
                <w:color w:val="auto"/>
                <w:highlight w:val="yellow"/>
              </w:rPr>
              <w:t xml:space="preserve">9 dB </w:t>
            </w:r>
            <w:r>
              <w:rPr>
                <w:i/>
                <w:iCs/>
                <w:color w:val="auto"/>
              </w:rPr>
              <w:t>(NOTE</w:t>
            </w:r>
            <w:r>
              <w:rPr>
                <w:rFonts w:hint="eastAsia" w:eastAsia="宋体"/>
                <w:i/>
                <w:iCs/>
                <w:color w:val="auto"/>
                <w:lang w:val="en-US" w:eastAsia="zh-CN"/>
              </w:rPr>
              <w:t xml:space="preserve"> 2</w:t>
            </w:r>
            <w:r>
              <w:rPr>
                <w:i/>
                <w:iCs/>
                <w:color w:val="auto"/>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5061" w:type="dxa"/>
          </w:tcPr>
          <w:p>
            <w:pPr>
              <w:pStyle w:val="200"/>
              <w:rPr>
                <w:i/>
                <w:iCs/>
                <w:color w:val="auto"/>
                <w:lang w:eastAsia="en-GB"/>
              </w:rPr>
            </w:pPr>
            <w:r>
              <w:rPr>
                <w:i/>
                <w:iCs/>
                <w:color w:val="auto"/>
                <w:lang w:eastAsia="en-GB"/>
              </w:rPr>
              <w:t xml:space="preserve">Field strength between 30 MHz </w:t>
            </w:r>
            <w:r>
              <w:rPr>
                <w:rFonts w:hint="eastAsia" w:eastAsia="宋体"/>
                <w:i/>
                <w:iCs/>
                <w:color w:val="auto"/>
                <w:lang w:val="en-US" w:eastAsia="zh-CN"/>
              </w:rPr>
              <w:t>and</w:t>
            </w:r>
            <w:r>
              <w:rPr>
                <w:i/>
                <w:iCs/>
                <w:color w:val="auto"/>
                <w:lang w:eastAsia="en-GB"/>
              </w:rPr>
              <w:t xml:space="preserve"> 12,75 GHz</w:t>
            </w:r>
          </w:p>
        </w:tc>
        <w:tc>
          <w:tcPr>
            <w:tcW w:w="1896" w:type="dxa"/>
            <w:vAlign w:val="center"/>
          </w:tcPr>
          <w:p>
            <w:pPr>
              <w:pStyle w:val="200"/>
              <w:rPr>
                <w:i/>
                <w:iCs/>
                <w:color w:val="auto"/>
                <w:lang w:eastAsia="en-GB"/>
              </w:rPr>
            </w:pPr>
            <w:r>
              <w:rPr>
                <w:i/>
                <w:iCs/>
                <w:color w:val="auto"/>
                <w:lang w:eastAsia="en-GB"/>
              </w:rPr>
              <w:sym w:font="Symbol" w:char="F0B1"/>
            </w:r>
            <w:r>
              <w:rPr>
                <w:i/>
                <w:iCs/>
                <w:color w:val="auto"/>
                <w:lang w:eastAsia="en-GB"/>
              </w:rPr>
              <w:t>6 dB</w:t>
            </w:r>
          </w:p>
        </w:tc>
        <w:tc>
          <w:tcPr>
            <w:tcW w:w="1904" w:type="dxa"/>
            <w:vAlign w:val="center"/>
          </w:tcPr>
          <w:p>
            <w:pPr>
              <w:pStyle w:val="200"/>
              <w:rPr>
                <w:i/>
                <w:iCs/>
                <w:color w:val="auto"/>
                <w:lang w:eastAsia="en-GB"/>
              </w:rPr>
            </w:pPr>
            <w:r>
              <w:rPr>
                <w:i/>
                <w:iCs/>
                <w:color w:val="auto"/>
                <w:lang w:eastAsia="en-GB"/>
              </w:rPr>
              <w:sym w:font="Symbol" w:char="F0B1"/>
            </w:r>
            <w:r>
              <w:rPr>
                <w:i/>
                <w:iCs/>
                <w:color w:val="auto"/>
                <w:lang w:eastAsia="en-GB"/>
              </w:rPr>
              <w:t>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5061" w:type="dxa"/>
          </w:tcPr>
          <w:p>
            <w:pPr>
              <w:pStyle w:val="200"/>
              <w:rPr>
                <w:i/>
                <w:iCs/>
                <w:color w:val="auto"/>
                <w:lang w:eastAsia="en-GB"/>
              </w:rPr>
            </w:pPr>
            <w:r>
              <w:rPr>
                <w:i/>
                <w:iCs/>
                <w:color w:val="auto"/>
                <w:lang w:eastAsia="en-GB"/>
              </w:rPr>
              <w:t xml:space="preserve">Field strength between </w:t>
            </w:r>
            <w:r>
              <w:rPr>
                <w:i/>
                <w:iCs/>
                <w:color w:val="auto"/>
              </w:rPr>
              <w:t xml:space="preserve">12,75 GHz </w:t>
            </w:r>
            <w:r>
              <w:rPr>
                <w:rFonts w:hint="eastAsia" w:eastAsia="宋体"/>
                <w:i/>
                <w:iCs/>
                <w:color w:val="auto"/>
                <w:lang w:val="en-US" w:eastAsia="zh-CN"/>
              </w:rPr>
              <w:t>and</w:t>
            </w:r>
            <w:r>
              <w:rPr>
                <w:i/>
                <w:iCs/>
                <w:color w:val="auto"/>
              </w:rPr>
              <w:t xml:space="preserve"> </w:t>
            </w:r>
            <w:r>
              <w:rPr>
                <w:rFonts w:hint="eastAsia" w:eastAsia="宋体"/>
                <w:i/>
                <w:iCs/>
                <w:color w:val="auto"/>
                <w:lang w:val="en-US" w:eastAsia="zh-CN"/>
              </w:rPr>
              <w:t>26</w:t>
            </w:r>
            <w:r>
              <w:rPr>
                <w:i/>
                <w:iCs/>
                <w:color w:val="auto"/>
              </w:rPr>
              <w:t xml:space="preserve"> GHz</w:t>
            </w:r>
          </w:p>
        </w:tc>
        <w:tc>
          <w:tcPr>
            <w:tcW w:w="1896" w:type="dxa"/>
            <w:vAlign w:val="center"/>
          </w:tcPr>
          <w:p>
            <w:pPr>
              <w:pStyle w:val="200"/>
              <w:rPr>
                <w:i/>
                <w:iCs/>
                <w:color w:val="auto"/>
                <w:lang w:eastAsia="en-GB"/>
              </w:rPr>
            </w:pPr>
            <w:r>
              <w:rPr>
                <w:i/>
                <w:iCs/>
                <w:color w:val="auto"/>
                <w:highlight w:val="yellow"/>
                <w:lang w:eastAsia="en-GB"/>
              </w:rPr>
              <w:sym w:font="Symbol" w:char="F0B1"/>
            </w:r>
            <w:r>
              <w:rPr>
                <w:i/>
                <w:iCs/>
                <w:color w:val="auto"/>
                <w:highlight w:val="yellow"/>
                <w:lang w:eastAsia="en-GB"/>
              </w:rPr>
              <w:t>6 dB</w:t>
            </w:r>
          </w:p>
        </w:tc>
        <w:tc>
          <w:tcPr>
            <w:tcW w:w="1904" w:type="dxa"/>
            <w:vAlign w:val="center"/>
          </w:tcPr>
          <w:p>
            <w:pPr>
              <w:pStyle w:val="200"/>
              <w:rPr>
                <w:i/>
                <w:iCs/>
                <w:color w:val="auto"/>
                <w:lang w:eastAsia="en-GB"/>
              </w:rPr>
            </w:pPr>
            <w:r>
              <w:rPr>
                <w:i/>
                <w:iCs/>
                <w:color w:val="auto"/>
                <w:highlight w:val="yellow"/>
                <w:lang w:eastAsia="en-GB"/>
              </w:rPr>
              <w:sym w:font="Symbol" w:char="F0B1"/>
            </w:r>
            <w:r>
              <w:rPr>
                <w:i/>
                <w:iCs/>
                <w:color w:val="auto"/>
                <w:highlight w:val="yellow"/>
                <w:lang w:eastAsia="en-GB"/>
              </w:rPr>
              <w:t>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8861" w:type="dxa"/>
            <w:gridSpan w:val="3"/>
          </w:tcPr>
          <w:p>
            <w:pPr>
              <w:pStyle w:val="170"/>
              <w:rPr>
                <w:rFonts w:hint="default" w:eastAsia="宋体" w:cs="Arial"/>
                <w:i/>
                <w:iCs/>
                <w:color w:val="auto"/>
                <w:lang w:val="en-US" w:eastAsia="zh-CN"/>
              </w:rPr>
            </w:pPr>
            <w:r>
              <w:rPr>
                <w:rFonts w:hint="eastAsia" w:eastAsia="宋体" w:cs="Arial"/>
                <w:i/>
                <w:iCs/>
                <w:color w:val="auto"/>
                <w:lang w:val="en-US" w:eastAsia="zh-CN"/>
              </w:rPr>
              <w:t xml:space="preserve">NOTE 1:   </w:t>
            </w:r>
            <w:r>
              <w:rPr>
                <w:i/>
                <w:iCs/>
                <w:color w:val="auto"/>
              </w:rPr>
              <w:t>These MU values estimates and are not based on the MU budget calculations. For more background on MU derivation analys</w:t>
            </w:r>
            <w:r>
              <w:rPr>
                <w:rFonts w:hint="eastAsia" w:eastAsia="宋体"/>
                <w:i/>
                <w:iCs/>
                <w:color w:val="auto"/>
                <w:lang w:val="en-US" w:eastAsia="zh-CN"/>
              </w:rPr>
              <w:t>e</w:t>
            </w:r>
            <w:r>
              <w:rPr>
                <w:i/>
                <w:iCs/>
                <w:color w:val="auto"/>
              </w:rPr>
              <w:t>s refer to CISPR 16-4-2 [</w:t>
            </w:r>
            <w:r>
              <w:rPr>
                <w:rFonts w:hint="eastAsia" w:eastAsia="宋体"/>
                <w:i/>
                <w:iCs/>
                <w:color w:val="auto"/>
                <w:lang w:val="en-US" w:eastAsia="zh-CN"/>
              </w:rPr>
              <w:t>31</w:t>
            </w:r>
            <w:r>
              <w:rPr>
                <w:i/>
                <w:iCs/>
                <w:color w:val="auto"/>
              </w:rPr>
              <w:t>] and ETSI TR 100 028-1 [</w:t>
            </w:r>
            <w:r>
              <w:rPr>
                <w:rFonts w:hint="eastAsia" w:eastAsia="宋体"/>
                <w:i/>
                <w:iCs/>
                <w:color w:val="auto"/>
                <w:lang w:val="en-US" w:eastAsia="zh-CN"/>
              </w:rPr>
              <w:t>32</w:t>
            </w:r>
            <w:r>
              <w:rPr>
                <w:i/>
                <w:iCs/>
                <w:color w:val="auto"/>
              </w:rPr>
              <w:t>].</w:t>
            </w:r>
          </w:p>
          <w:p>
            <w:pPr>
              <w:pStyle w:val="170"/>
              <w:rPr>
                <w:i/>
                <w:iCs/>
                <w:color w:val="auto"/>
              </w:rPr>
            </w:pPr>
            <w:r>
              <w:rPr>
                <w:rFonts w:cs="Arial"/>
                <w:i/>
                <w:iCs/>
                <w:color w:val="auto"/>
              </w:rPr>
              <w:t>NOTE</w:t>
            </w:r>
            <w:r>
              <w:rPr>
                <w:rFonts w:hint="eastAsia" w:eastAsia="宋体" w:cs="Arial"/>
                <w:i/>
                <w:iCs/>
                <w:color w:val="auto"/>
                <w:lang w:val="en-US" w:eastAsia="zh-CN"/>
              </w:rPr>
              <w:t xml:space="preserve"> 2</w:t>
            </w:r>
            <w:r>
              <w:rPr>
                <w:rFonts w:cs="Arial"/>
                <w:i/>
                <w:iCs/>
                <w:color w:val="auto"/>
              </w:rPr>
              <w:t>:</w:t>
            </w:r>
            <w:r>
              <w:rPr>
                <w:i/>
                <w:iCs/>
                <w:color w:val="auto"/>
              </w:rPr>
              <w:tab/>
            </w:r>
            <w:r>
              <w:rPr>
                <w:rFonts w:cs="Arial"/>
                <w:i/>
                <w:iCs/>
                <w:color w:val="auto"/>
              </w:rPr>
              <w:t xml:space="preserve">This value may be reduced to </w:t>
            </w:r>
            <w:r>
              <w:rPr>
                <w:i/>
                <w:iCs/>
                <w:color w:val="auto"/>
              </w:rPr>
              <w:sym w:font="Symbol" w:char="F0B1"/>
            </w:r>
            <w:r>
              <w:rPr>
                <w:i/>
                <w:iCs/>
                <w:color w:val="auto"/>
              </w:rPr>
              <w:t>6 dB when further information on the potential radiation characteristic of the EUT is available.</w:t>
            </w:r>
          </w:p>
        </w:tc>
      </w:tr>
    </w:tbl>
    <w:p>
      <w:pPr>
        <w:numPr>
          <w:ilvl w:val="0"/>
          <w:numId w:val="0"/>
        </w:numPr>
        <w:overflowPunct w:val="0"/>
        <w:autoSpaceDE w:val="0"/>
        <w:autoSpaceDN w:val="0"/>
        <w:adjustRightInd w:val="0"/>
        <w:spacing w:after="120"/>
        <w:jc w:val="both"/>
        <w:textAlignment w:val="baseline"/>
        <w:rPr>
          <w:rFonts w:hint="eastAsia"/>
          <w:b w:val="0"/>
          <w:bCs w:val="0"/>
          <w:color w:val="auto"/>
          <w:sz w:val="20"/>
          <w:szCs w:val="20"/>
          <w:lang w:val="en-US" w:eastAsia="zh-CN"/>
        </w:rPr>
      </w:pPr>
    </w:p>
    <w:p>
      <w:pPr>
        <w:rPr>
          <w:rFonts w:hint="default"/>
          <w:b w:val="0"/>
          <w:bCs w:val="0"/>
          <w:color w:val="auto"/>
          <w:sz w:val="20"/>
          <w:szCs w:val="20"/>
          <w:lang w:val="en-US" w:eastAsia="zh-CN"/>
        </w:rPr>
      </w:pPr>
      <w:r>
        <w:rPr>
          <w:rFonts w:hint="eastAsia"/>
          <w:b w:val="0"/>
          <w:bCs w:val="0"/>
          <w:color w:val="auto"/>
          <w:sz w:val="20"/>
          <w:szCs w:val="20"/>
          <w:lang w:val="en-US" w:eastAsia="zh-CN"/>
        </w:rPr>
        <w:t>In order to explain the reason that MU value should be greater than 6dB with big size EUT (&gt;1m), further calculation of the MU value for NR BS would be given in this contribution.</w:t>
      </w:r>
    </w:p>
    <w:p>
      <w:pPr>
        <w:pStyle w:val="2"/>
        <w:numPr>
          <w:ilvl w:val="0"/>
          <w:numId w:val="11"/>
        </w:numPr>
        <w:rPr>
          <w:rFonts w:hint="default" w:ascii="Arial" w:hAnsi="Arial" w:eastAsia="宋体"/>
          <w:b/>
          <w:color w:val="auto"/>
          <w:sz w:val="36"/>
          <w:szCs w:val="36"/>
          <w:highlight w:val="none"/>
          <w:lang w:val="en-US" w:eastAsia="zh-CN"/>
        </w:rPr>
      </w:pPr>
      <w:r>
        <w:rPr>
          <w:rFonts w:hint="eastAsia" w:ascii="Arial" w:hAnsi="Arial" w:eastAsia="宋体"/>
          <w:b/>
          <w:color w:val="auto"/>
          <w:sz w:val="36"/>
          <w:szCs w:val="36"/>
          <w:highlight w:val="none"/>
          <w:lang w:eastAsia="zh-CN"/>
        </w:rPr>
        <w:t>Discussion</w:t>
      </w:r>
    </w:p>
    <w:p>
      <w:pPr>
        <w:keepNext w:val="0"/>
        <w:keepLines w:val="0"/>
        <w:pageBreakBefore w:val="0"/>
        <w:widowControl/>
        <w:kinsoku/>
        <w:wordWrap/>
        <w:overflowPunct/>
        <w:topLinePunct w:val="0"/>
        <w:autoSpaceDE/>
        <w:autoSpaceDN/>
        <w:bidi w:val="0"/>
        <w:adjustRightInd/>
        <w:snapToGrid/>
        <w:ind w:left="0" w:leftChars="0" w:firstLine="0" w:firstLineChars="0"/>
        <w:textAlignment w:val="auto"/>
        <w:rPr>
          <w:rFonts w:hint="eastAsia"/>
          <w:b w:val="0"/>
          <w:bCs w:val="0"/>
          <w:color w:val="auto"/>
          <w:sz w:val="20"/>
          <w:szCs w:val="20"/>
          <w:lang w:val="en-US" w:eastAsia="zh-CN"/>
        </w:rPr>
      </w:pPr>
      <w:r>
        <w:rPr>
          <w:rFonts w:hint="eastAsia"/>
          <w:b w:val="0"/>
          <w:bCs w:val="0"/>
          <w:color w:val="auto"/>
          <w:sz w:val="20"/>
          <w:szCs w:val="20"/>
          <w:lang w:val="en-US" w:eastAsia="zh-CN"/>
        </w:rPr>
        <w:t xml:space="preserve">In RAN4 #102-e meeting, the analysis for the frequency range and value of measurement uncertainty (MU) has already been provided in our discussion </w:t>
      </w:r>
      <w:r>
        <w:rPr>
          <w:rFonts w:hint="eastAsia" w:ascii="Times New Roman" w:hAnsi="Times New Roman" w:cs="Times New Roman"/>
          <w:color w:val="auto"/>
          <w:sz w:val="20"/>
          <w:szCs w:val="20"/>
          <w:lang w:val="en-US" w:eastAsia="sv-SE"/>
        </w:rPr>
        <w:t>R4-2204429</w:t>
      </w:r>
      <w:r>
        <w:rPr>
          <w:rFonts w:hint="eastAsia"/>
          <w:b w:val="0"/>
          <w:bCs w:val="0"/>
          <w:color w:val="auto"/>
          <w:sz w:val="20"/>
          <w:szCs w:val="20"/>
          <w:lang w:val="en-US" w:eastAsia="zh-CN"/>
        </w:rPr>
        <w:t xml:space="preserve"> [2], and only MU value for big size EUT is not evaluated enough. To fix this issue, further analysis will be discussed as below.</w:t>
      </w:r>
    </w:p>
    <w:p>
      <w:pPr>
        <w:keepNext w:val="0"/>
        <w:keepLines w:val="0"/>
        <w:pageBreakBefore w:val="0"/>
        <w:widowControl/>
        <w:kinsoku/>
        <w:wordWrap/>
        <w:overflowPunct/>
        <w:topLinePunct w:val="0"/>
        <w:autoSpaceDE/>
        <w:autoSpaceDN/>
        <w:bidi w:val="0"/>
        <w:adjustRightInd/>
        <w:snapToGrid/>
        <w:ind w:left="0" w:leftChars="0" w:firstLine="0" w:firstLineChars="0"/>
        <w:textAlignment w:val="auto"/>
        <w:rPr>
          <w:rFonts w:hint="eastAsia" w:eastAsia="Yu Mincho"/>
          <w:b/>
          <w:bCs/>
          <w:color w:val="auto"/>
          <w:sz w:val="20"/>
          <w:szCs w:val="20"/>
          <w:lang w:val="en-US" w:eastAsia="zh-CN"/>
        </w:rPr>
      </w:pPr>
      <w:r>
        <w:rPr>
          <w:rFonts w:hint="eastAsia" w:eastAsia="Yu Mincho"/>
          <w:b/>
          <w:bCs/>
          <w:color w:val="auto"/>
          <w:sz w:val="20"/>
          <w:szCs w:val="20"/>
          <w:lang w:val="en-US" w:eastAsia="zh-CN"/>
        </w:rPr>
        <w:t>2.1 The frequency range of radiated emission measurement</w:t>
      </w:r>
    </w:p>
    <w:p>
      <w:pPr>
        <w:keepNext w:val="0"/>
        <w:keepLines w:val="0"/>
        <w:pageBreakBefore w:val="0"/>
        <w:widowControl/>
        <w:kinsoku/>
        <w:wordWrap/>
        <w:overflowPunct/>
        <w:topLinePunct w:val="0"/>
        <w:autoSpaceDE/>
        <w:autoSpaceDN/>
        <w:bidi w:val="0"/>
        <w:adjustRightInd/>
        <w:snapToGrid/>
        <w:ind w:left="0" w:leftChars="0" w:firstLine="0" w:firstLineChars="0"/>
        <w:textAlignment w:val="auto"/>
        <w:rPr>
          <w:rFonts w:hint="default" w:eastAsia="宋体"/>
          <w:b w:val="0"/>
          <w:bCs w:val="0"/>
          <w:color w:val="auto"/>
          <w:sz w:val="20"/>
          <w:szCs w:val="20"/>
          <w:lang w:val="en-US" w:eastAsia="zh-CN"/>
        </w:rPr>
      </w:pPr>
      <w:r>
        <w:rPr>
          <w:rFonts w:hint="eastAsia"/>
          <w:b w:val="0"/>
          <w:bCs w:val="0"/>
          <w:color w:val="auto"/>
          <w:sz w:val="20"/>
          <w:szCs w:val="20"/>
          <w:lang w:val="en-US" w:eastAsia="zh-CN"/>
        </w:rPr>
        <w:t xml:space="preserve">In RAN4 #102-e meeting, </w:t>
      </w:r>
      <w:r>
        <w:rPr>
          <w:rFonts w:hint="default" w:ascii="Times New Roman" w:hAnsi="Times New Roman" w:eastAsia="宋体" w:cs="Times New Roman"/>
          <w:b w:val="0"/>
          <w:bCs w:val="0"/>
          <w:color w:val="auto"/>
          <w:sz w:val="20"/>
          <w:szCs w:val="20"/>
          <w:lang w:val="en-US" w:eastAsia="zh-CN"/>
        </w:rPr>
        <w:t xml:space="preserve">there were some discussions on NR </w:t>
      </w:r>
      <w:r>
        <w:rPr>
          <w:rFonts w:hint="eastAsia" w:eastAsia="宋体" w:cs="Times New Roman"/>
          <w:b w:val="0"/>
          <w:bCs w:val="0"/>
          <w:color w:val="auto"/>
          <w:sz w:val="20"/>
          <w:szCs w:val="20"/>
          <w:lang w:val="en-US" w:eastAsia="zh-CN"/>
        </w:rPr>
        <w:t>BS</w:t>
      </w:r>
      <w:r>
        <w:rPr>
          <w:rFonts w:hint="default" w:ascii="Times New Roman" w:hAnsi="Times New Roman" w:eastAsia="宋体" w:cs="Times New Roman"/>
          <w:b w:val="0"/>
          <w:bCs w:val="0"/>
          <w:color w:val="auto"/>
          <w:sz w:val="20"/>
          <w:szCs w:val="20"/>
          <w:lang w:val="en-US" w:eastAsia="zh-CN"/>
        </w:rPr>
        <w:t xml:space="preserve"> </w:t>
      </w:r>
      <w:r>
        <w:rPr>
          <w:rFonts w:hint="eastAsia" w:eastAsia="宋体" w:cs="Times New Roman"/>
          <w:b w:val="0"/>
          <w:bCs w:val="0"/>
          <w:color w:val="auto"/>
          <w:sz w:val="20"/>
          <w:szCs w:val="20"/>
          <w:lang w:val="en-US" w:eastAsia="zh-CN"/>
        </w:rPr>
        <w:t>MU</w:t>
      </w:r>
      <w:r>
        <w:rPr>
          <w:rFonts w:hint="default" w:ascii="Times New Roman" w:hAnsi="Times New Roman" w:eastAsia="宋体" w:cs="Times New Roman"/>
          <w:b w:val="0"/>
          <w:bCs w:val="0"/>
          <w:color w:val="auto"/>
          <w:sz w:val="20"/>
          <w:szCs w:val="20"/>
          <w:lang w:val="en-US" w:eastAsia="zh-CN"/>
        </w:rPr>
        <w:t>, and</w:t>
      </w:r>
      <w:r>
        <w:rPr>
          <w:rFonts w:hint="eastAsia" w:eastAsia="宋体" w:cs="Times New Roman"/>
          <w:b w:val="0"/>
          <w:bCs w:val="0"/>
          <w:color w:val="auto"/>
          <w:sz w:val="20"/>
          <w:szCs w:val="20"/>
          <w:lang w:val="en-US" w:eastAsia="zh-CN"/>
        </w:rPr>
        <w:t xml:space="preserve"> also</w:t>
      </w:r>
      <w:r>
        <w:rPr>
          <w:rFonts w:hint="default" w:ascii="Times New Roman" w:hAnsi="Times New Roman" w:eastAsia="宋体" w:cs="Times New Roman"/>
          <w:b w:val="0"/>
          <w:bCs w:val="0"/>
          <w:color w:val="auto"/>
          <w:sz w:val="20"/>
          <w:szCs w:val="20"/>
          <w:lang w:val="en-US" w:eastAsia="zh-CN"/>
        </w:rPr>
        <w:t xml:space="preserve"> </w:t>
      </w:r>
      <w:r>
        <w:rPr>
          <w:rFonts w:hint="eastAsia" w:eastAsia="宋体" w:cs="Times New Roman"/>
          <w:b w:val="0"/>
          <w:bCs w:val="0"/>
          <w:color w:val="auto"/>
          <w:sz w:val="20"/>
          <w:szCs w:val="20"/>
          <w:lang w:val="en-US" w:eastAsia="zh-CN"/>
        </w:rPr>
        <w:t>a</w:t>
      </w:r>
      <w:r>
        <w:rPr>
          <w:rFonts w:hint="default" w:ascii="Times New Roman" w:hAnsi="Times New Roman" w:eastAsia="宋体" w:cs="Times New Roman"/>
          <w:b w:val="0"/>
          <w:bCs w:val="0"/>
          <w:color w:val="auto"/>
          <w:sz w:val="20"/>
          <w:szCs w:val="20"/>
          <w:lang w:val="en-US" w:eastAsia="zh-CN"/>
        </w:rPr>
        <w:t xml:space="preserve"> WF</w:t>
      </w:r>
      <w:r>
        <w:rPr>
          <w:rFonts w:hint="eastAsia" w:eastAsia="宋体" w:cs="Times New Roman"/>
          <w:b w:val="0"/>
          <w:bCs w:val="0"/>
          <w:color w:val="auto"/>
          <w:sz w:val="20"/>
          <w:szCs w:val="20"/>
          <w:lang w:val="en-US" w:eastAsia="zh-CN"/>
        </w:rPr>
        <w:t xml:space="preserve"> </w:t>
      </w:r>
      <w:r>
        <w:rPr>
          <w:rFonts w:hint="eastAsia"/>
          <w:b w:val="0"/>
          <w:bCs w:val="0"/>
          <w:color w:val="auto"/>
          <w:sz w:val="20"/>
          <w:szCs w:val="20"/>
          <w:lang w:val="en-US" w:eastAsia="zh-CN"/>
        </w:rPr>
        <w:t xml:space="preserve">R4-2207188 </w:t>
      </w:r>
      <w:r>
        <w:rPr>
          <w:rFonts w:hint="default"/>
          <w:b w:val="0"/>
          <w:bCs w:val="0"/>
          <w:color w:val="auto"/>
          <w:sz w:val="20"/>
          <w:szCs w:val="20"/>
          <w:lang w:val="en-US" w:eastAsia="zh-CN"/>
        </w:rPr>
        <w:t>[1]</w:t>
      </w:r>
      <w:r>
        <w:rPr>
          <w:rFonts w:hint="default" w:ascii="Times New Roman" w:hAnsi="Times New Roman" w:eastAsia="宋体" w:cs="Times New Roman"/>
          <w:b w:val="0"/>
          <w:bCs w:val="0"/>
          <w:color w:val="auto"/>
          <w:sz w:val="20"/>
          <w:szCs w:val="20"/>
          <w:lang w:val="en-US" w:eastAsia="zh-CN"/>
        </w:rPr>
        <w:t xml:space="preserve"> </w:t>
      </w:r>
      <w:r>
        <w:rPr>
          <w:rFonts w:hint="eastAsia" w:eastAsia="宋体" w:cs="Times New Roman"/>
          <w:b w:val="0"/>
          <w:bCs w:val="0"/>
          <w:color w:val="auto"/>
          <w:sz w:val="20"/>
          <w:szCs w:val="20"/>
          <w:lang w:val="en-US" w:eastAsia="zh-CN"/>
        </w:rPr>
        <w:t>for the highest test frequency of BS radiated emission was</w:t>
      </w:r>
      <w:r>
        <w:rPr>
          <w:rFonts w:hint="default" w:ascii="Times New Roman" w:hAnsi="Times New Roman" w:eastAsia="宋体" w:cs="Times New Roman"/>
          <w:b w:val="0"/>
          <w:bCs w:val="0"/>
          <w:color w:val="auto"/>
          <w:sz w:val="20"/>
          <w:szCs w:val="20"/>
          <w:lang w:val="en-US" w:eastAsia="zh-CN"/>
        </w:rPr>
        <w:t xml:space="preserve"> agreed</w:t>
      </w:r>
      <w:r>
        <w:rPr>
          <w:rFonts w:hint="eastAsia" w:eastAsia="宋体" w:cs="Times New Roman"/>
          <w:b w:val="0"/>
          <w:bCs w:val="0"/>
          <w:color w:val="auto"/>
          <w:sz w:val="20"/>
          <w:szCs w:val="20"/>
          <w:lang w:val="en-US" w:eastAsia="zh-CN"/>
        </w:rPr>
        <w:t>, which is shown as below.</w:t>
      </w:r>
    </w:p>
    <w:p>
      <w:pPr>
        <w:pStyle w:val="3"/>
        <w:numPr>
          <w:ilvl w:val="1"/>
          <w:numId w:val="0"/>
        </w:numPr>
        <w:tabs>
          <w:tab w:val="clear" w:pos="0"/>
        </w:tabs>
        <w:ind w:leftChars="0" w:firstLine="200" w:firstLineChars="100"/>
        <w:rPr>
          <w:rFonts w:hint="eastAsia" w:cs="Times New Roman"/>
          <w:i/>
          <w:iCs/>
          <w:sz w:val="20"/>
          <w:szCs w:val="20"/>
          <w:lang w:val="en-US" w:eastAsia="zh-CN"/>
        </w:rPr>
      </w:pPr>
      <w:r>
        <w:rPr>
          <w:rFonts w:hint="eastAsia" w:cs="Times New Roman"/>
          <w:i/>
          <w:iCs/>
          <w:sz w:val="20"/>
          <w:szCs w:val="20"/>
          <w:lang w:val="en-US" w:eastAsia="ko-KR"/>
        </w:rPr>
        <w:t xml:space="preserve">WF on </w:t>
      </w:r>
      <w:r>
        <w:rPr>
          <w:rFonts w:hint="eastAsia" w:cs="Times New Roman"/>
          <w:i/>
          <w:iCs/>
          <w:sz w:val="20"/>
          <w:szCs w:val="20"/>
          <w:lang w:val="en-US" w:eastAsia="zh-CN"/>
        </w:rPr>
        <w:t>extend the highest test frequency of BS EMC radiated spurious emission</w:t>
      </w:r>
    </w:p>
    <w:p>
      <w:pPr>
        <w:numPr>
          <w:ilvl w:val="0"/>
          <w:numId w:val="12"/>
        </w:numPr>
        <w:overflowPunct w:val="0"/>
        <w:autoSpaceDE w:val="0"/>
        <w:autoSpaceDN w:val="0"/>
        <w:adjustRightInd w:val="0"/>
        <w:spacing w:after="120"/>
        <w:ind w:left="584" w:hanging="227"/>
        <w:jc w:val="both"/>
        <w:textAlignment w:val="baseline"/>
        <w:rPr>
          <w:rFonts w:hint="eastAsia" w:eastAsia="宋体"/>
          <w:b w:val="0"/>
          <w:bCs w:val="0"/>
          <w:i/>
          <w:iCs/>
          <w:color w:val="auto"/>
          <w:sz w:val="20"/>
          <w:szCs w:val="20"/>
          <w:lang w:val="en-US" w:eastAsia="zh-CN"/>
        </w:rPr>
      </w:pPr>
      <w:r>
        <w:rPr>
          <w:rFonts w:hint="eastAsia" w:eastAsia="等线"/>
          <w:i/>
          <w:iCs/>
          <w:sz w:val="20"/>
          <w:szCs w:val="20"/>
          <w:lang w:eastAsia="sv-SE"/>
        </w:rPr>
        <w:t>Extend the highest test frequency of NR BS EMC radiated spurious emission for band n46 and n96 to 26 GHz to align with TS38.104</w:t>
      </w:r>
      <w:r>
        <w:rPr>
          <w:rFonts w:eastAsia="等线"/>
          <w:i/>
          <w:iCs/>
          <w:sz w:val="20"/>
          <w:szCs w:val="20"/>
          <w:lang w:eastAsia="sv-SE"/>
        </w:rPr>
        <w:t xml:space="preserve"> </w:t>
      </w:r>
    </w:p>
    <w:p>
      <w:pPr>
        <w:keepNext w:val="0"/>
        <w:keepLines w:val="0"/>
        <w:pageBreakBefore w:val="0"/>
        <w:widowControl/>
        <w:kinsoku/>
        <w:wordWrap/>
        <w:overflowPunct/>
        <w:topLinePunct w:val="0"/>
        <w:autoSpaceDE/>
        <w:autoSpaceDN/>
        <w:bidi w:val="0"/>
        <w:adjustRightInd/>
        <w:snapToGrid/>
        <w:ind w:left="0" w:leftChars="0" w:firstLine="0" w:firstLineChars="0"/>
        <w:textAlignment w:val="auto"/>
        <w:rPr>
          <w:rFonts w:hint="eastAsia" w:eastAsia="宋体"/>
          <w:b w:val="0"/>
          <w:bCs w:val="0"/>
          <w:color w:val="auto"/>
          <w:sz w:val="20"/>
          <w:szCs w:val="20"/>
          <w:lang w:val="en-US" w:eastAsia="zh-CN"/>
        </w:rPr>
      </w:pPr>
      <w:r>
        <w:rPr>
          <w:rFonts w:hint="eastAsia" w:eastAsia="宋体"/>
          <w:b/>
          <w:bCs w:val="0"/>
          <w:iCs/>
          <w:color w:val="000000" w:themeColor="text1"/>
          <w:sz w:val="20"/>
          <w:szCs w:val="20"/>
          <w:highlight w:val="none"/>
          <w:lang w:val="en-US" w:eastAsia="zh-CN"/>
          <w14:textFill>
            <w14:solidFill>
              <w14:schemeClr w14:val="tx1"/>
            </w14:solidFill>
          </w14:textFill>
        </w:rPr>
        <w:t>Observation 1:</w:t>
      </w:r>
      <w:r>
        <w:rPr>
          <w:rFonts w:hint="eastAsia" w:eastAsia="宋体"/>
          <w:b w:val="0"/>
          <w:bCs w:val="0"/>
          <w:color w:val="auto"/>
          <w:sz w:val="20"/>
          <w:szCs w:val="20"/>
          <w:lang w:val="en-US" w:eastAsia="zh-CN"/>
        </w:rPr>
        <w:t xml:space="preserve"> To align with BS TS 38.104, the highest test frequency of radiated spurious emission for band n46 and n96 is 26GHz.</w:t>
      </w:r>
    </w:p>
    <w:p>
      <w:pPr>
        <w:keepNext w:val="0"/>
        <w:keepLines w:val="0"/>
        <w:pageBreakBefore w:val="0"/>
        <w:widowControl/>
        <w:kinsoku/>
        <w:wordWrap/>
        <w:overflowPunct/>
        <w:topLinePunct w:val="0"/>
        <w:autoSpaceDE/>
        <w:autoSpaceDN/>
        <w:bidi w:val="0"/>
        <w:adjustRightInd/>
        <w:snapToGrid/>
        <w:ind w:left="0" w:leftChars="0" w:firstLine="0" w:firstLineChars="0"/>
        <w:textAlignment w:val="auto"/>
        <w:rPr>
          <w:rFonts w:hint="default"/>
          <w:b w:val="0"/>
          <w:bCs w:val="0"/>
          <w:color w:val="auto"/>
          <w:sz w:val="20"/>
          <w:szCs w:val="20"/>
          <w:lang w:val="en-US" w:eastAsia="zh-CN"/>
        </w:rPr>
      </w:pPr>
      <w:r>
        <w:rPr>
          <w:rFonts w:hint="eastAsia"/>
          <w:b/>
          <w:bCs/>
          <w:i w:val="0"/>
          <w:iCs w:val="0"/>
          <w:color w:val="auto"/>
          <w:sz w:val="20"/>
          <w:szCs w:val="20"/>
          <w:lang w:val="en-US" w:eastAsia="zh-CN"/>
        </w:rPr>
        <w:t>2.2 Radiated emission MU in CISPR 16-4-2[4]</w:t>
      </w:r>
    </w:p>
    <w:p>
      <w:pPr>
        <w:keepNext w:val="0"/>
        <w:keepLines w:val="0"/>
        <w:pageBreakBefore w:val="0"/>
        <w:widowControl/>
        <w:kinsoku/>
        <w:wordWrap/>
        <w:overflowPunct/>
        <w:topLinePunct w:val="0"/>
        <w:autoSpaceDE/>
        <w:autoSpaceDN/>
        <w:bidi w:val="0"/>
        <w:adjustRightInd/>
        <w:snapToGrid/>
        <w:ind w:left="0" w:leftChars="0" w:firstLine="0" w:firstLineChars="0"/>
        <w:textAlignment w:val="auto"/>
        <w:rPr>
          <w:rFonts w:hint="default" w:cs="Times New Roman"/>
          <w:b w:val="0"/>
          <w:bCs w:val="0"/>
          <w:color w:val="auto"/>
          <w:sz w:val="20"/>
          <w:szCs w:val="20"/>
          <w:lang w:val="en-US" w:eastAsia="zh-CN"/>
        </w:rPr>
      </w:pPr>
      <w:r>
        <w:rPr>
          <w:rFonts w:hint="eastAsia" w:cs="Times New Roman"/>
          <w:b w:val="0"/>
          <w:bCs w:val="0"/>
          <w:color w:val="auto"/>
          <w:sz w:val="20"/>
          <w:szCs w:val="20"/>
          <w:lang w:val="en-US" w:eastAsia="zh-CN"/>
        </w:rPr>
        <w:t>Due to the evaluating component of EUT size is not included in the calculation model of this standard, and this situation has already been discussed in last meeting. Therefore, the MU value of radiated emission will be evaluated by other standard for big size EUT</w:t>
      </w:r>
      <w:r>
        <w:rPr>
          <w:rFonts w:hint="eastAsia"/>
          <w:b w:val="0"/>
          <w:bCs w:val="0"/>
          <w:color w:val="auto"/>
          <w:sz w:val="20"/>
          <w:szCs w:val="20"/>
          <w:lang w:val="en-US" w:eastAsia="zh-CN"/>
        </w:rPr>
        <w:t>.</w:t>
      </w:r>
    </w:p>
    <w:p>
      <w:pPr>
        <w:keepNext w:val="0"/>
        <w:keepLines w:val="0"/>
        <w:pageBreakBefore w:val="0"/>
        <w:widowControl/>
        <w:kinsoku/>
        <w:wordWrap/>
        <w:overflowPunct/>
        <w:topLinePunct w:val="0"/>
        <w:autoSpaceDE/>
        <w:autoSpaceDN/>
        <w:bidi w:val="0"/>
        <w:adjustRightInd/>
        <w:snapToGrid/>
        <w:ind w:left="0" w:leftChars="0" w:firstLine="0" w:firstLineChars="0"/>
        <w:textAlignment w:val="auto"/>
        <w:rPr>
          <w:rFonts w:hint="eastAsia" w:cs="Times New Roman"/>
          <w:b w:val="0"/>
          <w:bCs w:val="0"/>
          <w:color w:val="auto"/>
          <w:sz w:val="20"/>
          <w:szCs w:val="20"/>
          <w:lang w:val="en-US" w:eastAsia="zh-CN"/>
        </w:rPr>
      </w:pPr>
      <w:r>
        <w:rPr>
          <w:rFonts w:hint="eastAsia"/>
          <w:b/>
          <w:bCs/>
          <w:i w:val="0"/>
          <w:iCs w:val="0"/>
          <w:color w:val="auto"/>
          <w:sz w:val="20"/>
          <w:szCs w:val="20"/>
          <w:lang w:val="en-US" w:eastAsia="zh-CN"/>
        </w:rPr>
        <w:t>2.3 Radiated spurious emission MU in ETSI TR 100 028-1[5]</w:t>
      </w:r>
    </w:p>
    <w:p>
      <w:pPr>
        <w:keepNext w:val="0"/>
        <w:keepLines w:val="0"/>
        <w:pageBreakBefore w:val="0"/>
        <w:widowControl/>
        <w:kinsoku/>
        <w:wordWrap/>
        <w:overflowPunct/>
        <w:topLinePunct w:val="0"/>
        <w:autoSpaceDE/>
        <w:autoSpaceDN/>
        <w:bidi w:val="0"/>
        <w:adjustRightInd/>
        <w:snapToGrid/>
        <w:ind w:left="0" w:leftChars="0" w:firstLine="0" w:firstLineChars="0"/>
        <w:textAlignment w:val="auto"/>
        <w:rPr>
          <w:rFonts w:hint="default"/>
          <w:color w:val="auto"/>
          <w:sz w:val="20"/>
          <w:szCs w:val="20"/>
          <w:highlight w:val="none"/>
          <w:lang w:val="en-US" w:eastAsia="zh-CN"/>
        </w:rPr>
      </w:pPr>
      <w:r>
        <w:rPr>
          <w:rFonts w:hint="eastAsia" w:cs="Times New Roman"/>
          <w:b w:val="0"/>
          <w:bCs w:val="0"/>
          <w:color w:val="auto"/>
          <w:sz w:val="20"/>
          <w:szCs w:val="20"/>
          <w:lang w:val="en-US" w:eastAsia="zh-CN"/>
        </w:rPr>
        <w:t>As we know, the size of EUT is one of the essential components for MU value calculation, refer to the discussion in last meeting, the calculating procedure would be same, but only the EUT size is changed.</w:t>
      </w:r>
      <w:r>
        <w:rPr>
          <w:rFonts w:hint="eastAsia"/>
          <w:color w:val="auto"/>
          <w:sz w:val="20"/>
          <w:szCs w:val="20"/>
          <w:highlight w:val="none"/>
          <w:lang w:val="en-US" w:eastAsia="zh-CN"/>
        </w:rPr>
        <w:t xml:space="preserve"> The detailed analyzing and calculating procedure is shown as below.</w:t>
      </w:r>
    </w:p>
    <w:p>
      <w:pPr>
        <w:keepNext w:val="0"/>
        <w:keepLines w:val="0"/>
        <w:pageBreakBefore w:val="0"/>
        <w:widowControl/>
        <w:kinsoku/>
        <w:wordWrap/>
        <w:overflowPunct/>
        <w:topLinePunct w:val="0"/>
        <w:autoSpaceDE/>
        <w:autoSpaceDN/>
        <w:bidi w:val="0"/>
        <w:adjustRightInd/>
        <w:snapToGrid/>
        <w:ind w:left="0" w:leftChars="0" w:firstLine="0" w:firstLineChars="0"/>
        <w:textAlignment w:val="auto"/>
        <w:rPr>
          <w:rFonts w:hint="eastAsia"/>
          <w:b/>
          <w:bCs/>
          <w:color w:val="auto"/>
          <w:sz w:val="20"/>
          <w:szCs w:val="20"/>
          <w:highlight w:val="none"/>
          <w:lang w:val="en-US" w:eastAsia="zh-CN"/>
        </w:rPr>
      </w:pPr>
      <w:r>
        <w:rPr>
          <w:rFonts w:hint="eastAsia"/>
          <w:b/>
          <w:bCs/>
          <w:color w:val="auto"/>
          <w:sz w:val="20"/>
          <w:szCs w:val="20"/>
          <w:highlight w:val="none"/>
          <w:lang w:val="en-US" w:eastAsia="zh-CN"/>
        </w:rPr>
        <w:t>2.3.1 Calculation model of MU value</w:t>
      </w:r>
    </w:p>
    <w:p>
      <w:pPr>
        <w:keepNext w:val="0"/>
        <w:keepLines w:val="0"/>
        <w:pageBreakBefore w:val="0"/>
        <w:widowControl/>
        <w:kinsoku/>
        <w:wordWrap/>
        <w:overflowPunct/>
        <w:topLinePunct w:val="0"/>
        <w:autoSpaceDE/>
        <w:autoSpaceDN/>
        <w:bidi w:val="0"/>
        <w:adjustRightInd/>
        <w:snapToGrid/>
        <w:ind w:left="0" w:leftChars="0" w:firstLine="0" w:firstLineChars="0"/>
        <w:textAlignment w:val="auto"/>
        <w:rPr>
          <w:rFonts w:hint="default"/>
          <w:color w:val="auto"/>
          <w:sz w:val="20"/>
          <w:szCs w:val="20"/>
          <w:highlight w:val="none"/>
          <w:lang w:val="en-US" w:eastAsia="zh-CN"/>
        </w:rPr>
      </w:pPr>
      <w:r>
        <w:rPr>
          <w:rFonts w:hint="eastAsia"/>
          <w:color w:val="auto"/>
          <w:sz w:val="20"/>
          <w:szCs w:val="20"/>
          <w:highlight w:val="none"/>
          <w:lang w:val="en-US" w:eastAsia="zh-CN"/>
        </w:rPr>
        <w:t>There are two stages for calculation model of MU value in ETSI TR 100 028-1 [5]:</w:t>
      </w:r>
    </w:p>
    <w:p>
      <w:pPr>
        <w:bidi w:val="0"/>
        <w:ind w:firstLine="280" w:firstLineChars="0"/>
        <w:rPr>
          <w:rFonts w:hint="eastAsia"/>
          <w:color w:val="auto"/>
          <w:sz w:val="20"/>
          <w:szCs w:val="20"/>
          <w:highlight w:val="none"/>
          <w:lang w:val="en-US" w:eastAsia="zh-CN"/>
        </w:rPr>
      </w:pPr>
      <w:r>
        <w:rPr>
          <w:rFonts w:hint="eastAsia"/>
          <w:color w:val="auto"/>
          <w:sz w:val="20"/>
          <w:szCs w:val="20"/>
          <w:highlight w:val="none"/>
          <w:lang w:val="en-US" w:eastAsia="zh-CN"/>
        </w:rPr>
        <w:t>- Stage one: EUT measurement</w:t>
      </w:r>
    </w:p>
    <w:p>
      <w:pPr>
        <w:bidi w:val="0"/>
        <w:ind w:firstLine="280" w:firstLineChars="0"/>
        <w:rPr>
          <w:rFonts w:hint="eastAsia"/>
          <w:color w:val="auto"/>
          <w:sz w:val="20"/>
          <w:szCs w:val="20"/>
          <w:highlight w:val="none"/>
          <w:lang w:val="en-US" w:eastAsia="zh-CN"/>
        </w:rPr>
      </w:pPr>
      <w:r>
        <w:rPr>
          <w:rFonts w:hint="eastAsia"/>
          <w:color w:val="auto"/>
          <w:sz w:val="20"/>
          <w:szCs w:val="20"/>
          <w:highlight w:val="none"/>
          <w:lang w:val="en-US" w:eastAsia="zh-CN"/>
        </w:rPr>
        <w:t>- Stage two: Substitution</w:t>
      </w:r>
    </w:p>
    <w:p>
      <w:pPr>
        <w:bidi w:val="0"/>
        <w:ind w:firstLine="0" w:firstLineChars="0"/>
        <w:rPr>
          <w:rFonts w:hint="default"/>
          <w:color w:val="auto"/>
          <w:sz w:val="20"/>
          <w:szCs w:val="20"/>
          <w:highlight w:val="none"/>
          <w:lang w:val="en-US" w:eastAsia="zh-CN"/>
        </w:rPr>
      </w:pPr>
      <w:r>
        <w:rPr>
          <w:rFonts w:hint="eastAsia"/>
          <w:color w:val="auto"/>
          <w:sz w:val="20"/>
          <w:szCs w:val="20"/>
          <w:highlight w:val="none"/>
          <w:lang w:val="en-US" w:eastAsia="zh-CN"/>
        </w:rPr>
        <w:t>The detailed contents are described in our discus</w:t>
      </w:r>
      <w:r>
        <w:rPr>
          <w:rFonts w:hint="eastAsia"/>
          <w:i w:val="0"/>
          <w:iCs w:val="0"/>
          <w:color w:val="auto"/>
          <w:sz w:val="20"/>
          <w:szCs w:val="20"/>
          <w:highlight w:val="none"/>
          <w:lang w:val="en-US" w:eastAsia="zh-CN"/>
        </w:rPr>
        <w:t xml:space="preserve">sion </w:t>
      </w:r>
      <w:r>
        <w:rPr>
          <w:rFonts w:hint="eastAsia"/>
          <w:i w:val="0"/>
          <w:iCs w:val="0"/>
          <w:color w:val="auto"/>
          <w:sz w:val="20"/>
          <w:szCs w:val="20"/>
          <w:highlight w:val="none"/>
          <w:lang w:val="en-US" w:eastAsia="sv-SE"/>
        </w:rPr>
        <w:t>R4-2204429</w:t>
      </w:r>
      <w:r>
        <w:rPr>
          <w:rFonts w:hint="eastAsia"/>
          <w:i w:val="0"/>
          <w:iCs w:val="0"/>
          <w:color w:val="auto"/>
          <w:sz w:val="20"/>
          <w:szCs w:val="20"/>
          <w:highlight w:val="none"/>
          <w:lang w:val="en-US" w:eastAsia="zh-CN"/>
        </w:rPr>
        <w:t xml:space="preserve"> [2] at last meeting.</w:t>
      </w:r>
    </w:p>
    <w:p>
      <w:pPr>
        <w:bidi w:val="0"/>
        <w:rPr>
          <w:rFonts w:hint="default"/>
          <w:sz w:val="20"/>
          <w:szCs w:val="20"/>
          <w:lang w:val="en-US" w:eastAsia="zh-CN"/>
        </w:rPr>
      </w:pPr>
      <w:r>
        <w:rPr>
          <w:rFonts w:hint="eastAsia"/>
          <w:b/>
          <w:bCs/>
          <w:sz w:val="20"/>
          <w:szCs w:val="20"/>
          <w:lang w:val="en-US" w:eastAsia="zh-CN"/>
        </w:rPr>
        <w:t>2.3.2 The effective component contributed by EUT size</w:t>
      </w:r>
    </w:p>
    <w:p>
      <w:pPr>
        <w:bidi w:val="0"/>
        <w:rPr>
          <w:rFonts w:hint="eastAsia" w:cs="Times New Roman"/>
          <w:b w:val="0"/>
          <w:bCs w:val="0"/>
          <w:color w:val="auto"/>
          <w:sz w:val="20"/>
          <w:szCs w:val="20"/>
          <w:lang w:val="en-US" w:eastAsia="zh-CN"/>
        </w:rPr>
      </w:pPr>
      <w:r>
        <w:rPr>
          <w:rFonts w:hint="eastAsia"/>
          <w:sz w:val="20"/>
          <w:szCs w:val="20"/>
          <w:lang w:val="en-US" w:eastAsia="zh-CN"/>
        </w:rPr>
        <w:t xml:space="preserve">There are four essential components associate with the EUT size in </w:t>
      </w:r>
      <w:r>
        <w:rPr>
          <w:rFonts w:hint="eastAsia" w:ascii="Times New Roman" w:hAnsi="Times New Roman" w:cs="Times New Roman"/>
          <w:color w:val="auto"/>
          <w:sz w:val="20"/>
          <w:szCs w:val="20"/>
          <w:lang w:val="en-US" w:eastAsia="zh-CN"/>
        </w:rPr>
        <w:t>ETSI TR 102 27</w:t>
      </w:r>
      <w:r>
        <w:rPr>
          <w:rFonts w:hint="eastAsia" w:cs="Times New Roman"/>
          <w:b w:val="0"/>
          <w:bCs w:val="0"/>
          <w:color w:val="auto"/>
          <w:sz w:val="20"/>
          <w:szCs w:val="20"/>
          <w:lang w:val="en-US" w:eastAsia="zh-CN"/>
        </w:rPr>
        <w:t>3-1-2 [6]:</w:t>
      </w:r>
    </w:p>
    <w:p>
      <w:pPr>
        <w:bidi w:val="0"/>
        <w:ind w:firstLine="280" w:firstLineChars="0"/>
        <w:rPr>
          <w:rFonts w:hint="eastAsia" w:cs="Times New Roman"/>
          <w:b w:val="0"/>
          <w:bCs w:val="0"/>
          <w:color w:val="auto"/>
          <w:sz w:val="20"/>
          <w:szCs w:val="20"/>
          <w:lang w:val="en-US" w:eastAsia="zh-CN"/>
        </w:rPr>
      </w:pPr>
      <w:r>
        <w:rPr>
          <w:rFonts w:hint="eastAsia" w:cs="Times New Roman"/>
          <w:b w:val="0"/>
          <w:bCs w:val="0"/>
          <w:color w:val="auto"/>
          <w:sz w:val="20"/>
          <w:szCs w:val="20"/>
          <w:lang w:val="en-US" w:eastAsia="zh-CN"/>
        </w:rPr>
        <w:t xml:space="preserve">- </w:t>
      </w:r>
      <w:r>
        <w:rPr>
          <w:rFonts w:hint="default"/>
          <w:sz w:val="20"/>
          <w:szCs w:val="20"/>
          <w:lang w:val="en-US" w:eastAsia="zh-CN"/>
        </w:rPr>
        <w:t>Position of the phase centre: within the EUT volume</w:t>
      </w:r>
    </w:p>
    <w:p>
      <w:pPr>
        <w:bidi w:val="0"/>
        <w:ind w:firstLine="280" w:firstLineChars="0"/>
        <w:rPr>
          <w:rFonts w:hint="eastAsia" w:cs="Times New Roman"/>
          <w:b w:val="0"/>
          <w:bCs w:val="0"/>
          <w:color w:val="auto"/>
          <w:sz w:val="20"/>
          <w:szCs w:val="20"/>
          <w:lang w:val="en-US" w:eastAsia="zh-CN"/>
        </w:rPr>
      </w:pPr>
      <w:r>
        <w:rPr>
          <w:rFonts w:hint="eastAsia" w:cs="Times New Roman"/>
          <w:b w:val="0"/>
          <w:bCs w:val="0"/>
          <w:color w:val="auto"/>
          <w:sz w:val="20"/>
          <w:szCs w:val="20"/>
          <w:lang w:val="en-US" w:eastAsia="zh-CN"/>
        </w:rPr>
        <w:t xml:space="preserve">- </w:t>
      </w:r>
      <w:r>
        <w:rPr>
          <w:rFonts w:hint="eastAsia"/>
          <w:sz w:val="20"/>
          <w:szCs w:val="20"/>
          <w:lang w:val="en-US" w:eastAsia="zh-CN"/>
        </w:rPr>
        <w:t>Positioning of the phase centre</w:t>
      </w:r>
    </w:p>
    <w:p>
      <w:pPr>
        <w:bidi w:val="0"/>
        <w:ind w:firstLine="280" w:firstLineChars="0"/>
        <w:rPr>
          <w:rFonts w:hint="eastAsia" w:cs="Times New Roman"/>
          <w:b w:val="0"/>
          <w:bCs w:val="0"/>
          <w:color w:val="auto"/>
          <w:sz w:val="20"/>
          <w:szCs w:val="20"/>
          <w:lang w:val="en-US" w:eastAsia="zh-CN"/>
        </w:rPr>
      </w:pPr>
      <w:r>
        <w:rPr>
          <w:rFonts w:hint="eastAsia" w:cs="Times New Roman"/>
          <w:b w:val="0"/>
          <w:bCs w:val="0"/>
          <w:color w:val="auto"/>
          <w:sz w:val="20"/>
          <w:szCs w:val="20"/>
          <w:lang w:val="en-US" w:eastAsia="zh-CN"/>
        </w:rPr>
        <w:t xml:space="preserve">- </w:t>
      </w:r>
      <w:r>
        <w:rPr>
          <w:rFonts w:hint="eastAsia"/>
          <w:sz w:val="20"/>
          <w:szCs w:val="20"/>
          <w:lang w:val="en-US" w:eastAsia="zh-CN"/>
        </w:rPr>
        <w:t>Range length</w:t>
      </w:r>
    </w:p>
    <w:p>
      <w:pPr>
        <w:bidi w:val="0"/>
        <w:ind w:firstLine="280" w:firstLineChars="0"/>
        <w:rPr>
          <w:rFonts w:hint="default" w:cs="Times New Roman"/>
          <w:b w:val="0"/>
          <w:bCs w:val="0"/>
          <w:color w:val="auto"/>
          <w:sz w:val="20"/>
          <w:szCs w:val="20"/>
          <w:lang w:val="en-US" w:eastAsia="zh-CN"/>
        </w:rPr>
      </w:pPr>
      <w:r>
        <w:rPr>
          <w:rFonts w:hint="eastAsia" w:cs="Times New Roman"/>
          <w:b w:val="0"/>
          <w:bCs w:val="0"/>
          <w:color w:val="auto"/>
          <w:sz w:val="20"/>
          <w:szCs w:val="20"/>
          <w:lang w:val="en-US" w:eastAsia="zh-CN"/>
        </w:rPr>
        <w:t xml:space="preserve">- </w:t>
      </w:r>
      <w:r>
        <w:rPr>
          <w:rFonts w:hint="eastAsia"/>
          <w:sz w:val="20"/>
          <w:szCs w:val="20"/>
          <w:lang w:val="en-US" w:eastAsia="zh-CN"/>
        </w:rPr>
        <w:t>Mutual coupling</w:t>
      </w:r>
    </w:p>
    <w:p>
      <w:pPr>
        <w:bidi w:val="0"/>
        <w:rPr>
          <w:rFonts w:hint="eastAsia"/>
          <w:i/>
          <w:iCs/>
          <w:color w:val="auto"/>
          <w:sz w:val="16"/>
          <w:szCs w:val="16"/>
          <w:highlight w:val="none"/>
          <w:lang w:val="en-US" w:eastAsia="zh-CN"/>
        </w:rPr>
      </w:pPr>
      <w:r>
        <w:rPr>
          <w:rFonts w:hint="eastAsia"/>
          <w:color w:val="auto"/>
          <w:sz w:val="20"/>
          <w:szCs w:val="20"/>
          <w:highlight w:val="none"/>
          <w:lang w:val="en-US" w:eastAsia="zh-CN"/>
        </w:rPr>
        <w:t>The detailed contents are described in our discus</w:t>
      </w:r>
      <w:r>
        <w:rPr>
          <w:rFonts w:hint="eastAsia"/>
          <w:i w:val="0"/>
          <w:iCs w:val="0"/>
          <w:color w:val="auto"/>
          <w:sz w:val="20"/>
          <w:szCs w:val="20"/>
          <w:highlight w:val="none"/>
          <w:lang w:val="en-US" w:eastAsia="zh-CN"/>
        </w:rPr>
        <w:t xml:space="preserve">sion </w:t>
      </w:r>
      <w:r>
        <w:rPr>
          <w:rFonts w:hint="eastAsia"/>
          <w:i w:val="0"/>
          <w:iCs w:val="0"/>
          <w:color w:val="auto"/>
          <w:sz w:val="20"/>
          <w:szCs w:val="20"/>
          <w:highlight w:val="none"/>
          <w:lang w:val="en-US" w:eastAsia="sv-SE"/>
        </w:rPr>
        <w:t>R4-2204429</w:t>
      </w:r>
      <w:r>
        <w:rPr>
          <w:rFonts w:hint="eastAsia"/>
          <w:i w:val="0"/>
          <w:iCs w:val="0"/>
          <w:color w:val="auto"/>
          <w:sz w:val="20"/>
          <w:szCs w:val="20"/>
          <w:highlight w:val="none"/>
          <w:lang w:val="en-US" w:eastAsia="zh-CN"/>
        </w:rPr>
        <w:t xml:space="preserve"> [2] at last meeting.</w:t>
      </w:r>
    </w:p>
    <w:p>
      <w:pPr>
        <w:bidi w:val="0"/>
        <w:rPr>
          <w:rFonts w:hint="default"/>
          <w:b/>
          <w:bCs/>
          <w:sz w:val="20"/>
          <w:szCs w:val="20"/>
          <w:lang w:val="en-US" w:eastAsia="zh-CN"/>
        </w:rPr>
      </w:pPr>
      <w:r>
        <w:rPr>
          <w:rFonts w:hint="eastAsia"/>
          <w:b/>
          <w:bCs/>
          <w:sz w:val="20"/>
          <w:szCs w:val="20"/>
          <w:lang w:val="en-US" w:eastAsia="zh-CN"/>
        </w:rPr>
        <w:t>3.3.3 The examples of MU value calculation with big size EUT</w:t>
      </w:r>
    </w:p>
    <w:p>
      <w:pPr>
        <w:bidi w:val="0"/>
        <w:rPr>
          <w:rFonts w:hint="eastAsia"/>
          <w:sz w:val="20"/>
          <w:szCs w:val="20"/>
          <w:lang w:val="en-US" w:eastAsia="zh-CN"/>
        </w:rPr>
      </w:pPr>
      <w:r>
        <w:rPr>
          <w:rFonts w:hint="eastAsia"/>
          <w:color w:val="auto"/>
          <w:sz w:val="20"/>
          <w:szCs w:val="20"/>
          <w:highlight w:val="none"/>
          <w:lang w:val="en-US" w:eastAsia="zh-CN"/>
        </w:rPr>
        <w:t>The big EUT size can be larger than 2m. Here we select 2.5m as a typical value. In terms of</w:t>
      </w:r>
      <w:r>
        <w:rPr>
          <w:rFonts w:hint="eastAsia"/>
          <w:sz w:val="20"/>
          <w:szCs w:val="20"/>
          <w:lang w:val="en-US" w:eastAsia="zh-CN"/>
        </w:rPr>
        <w:t xml:space="preserve"> the calculation model of the ETSI</w:t>
      </w:r>
      <w:r>
        <w:rPr>
          <w:rFonts w:hint="eastAsia"/>
          <w:color w:val="auto"/>
          <w:sz w:val="20"/>
          <w:szCs w:val="20"/>
          <w:highlight w:val="none"/>
          <w:lang w:val="en-US" w:eastAsia="zh-CN"/>
        </w:rPr>
        <w:t xml:space="preserve"> TR 100 028-1 [5]</w:t>
      </w:r>
      <w:r>
        <w:rPr>
          <w:rFonts w:hint="eastAsia"/>
          <w:sz w:val="20"/>
          <w:szCs w:val="20"/>
          <w:lang w:val="en-US" w:eastAsia="zh-CN"/>
        </w:rPr>
        <w:t xml:space="preserve">, </w:t>
      </w:r>
      <w:bookmarkStart w:id="11" w:name="OLE_LINK2"/>
      <w:r>
        <w:rPr>
          <w:rFonts w:hint="eastAsia"/>
          <w:sz w:val="20"/>
          <w:szCs w:val="20"/>
          <w:lang w:val="en-US" w:eastAsia="zh-CN"/>
        </w:rPr>
        <w:t>for EUT size=2.50m,</w:t>
      </w:r>
      <w:bookmarkEnd w:id="11"/>
      <w:r>
        <w:rPr>
          <w:rFonts w:hint="eastAsia"/>
          <w:sz w:val="20"/>
          <w:szCs w:val="20"/>
          <w:lang w:val="en-US" w:eastAsia="zh-CN"/>
        </w:rPr>
        <w:t xml:space="preserve"> the calculation result of MU value for spurious radiated emission is shown as below:</w:t>
      </w:r>
    </w:p>
    <w:p>
      <w:pPr>
        <w:pStyle w:val="247"/>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jc w:val="center"/>
        <w:textAlignment w:val="auto"/>
        <w:rPr>
          <w:rFonts w:hint="default" w:ascii="Times New Roman" w:hAnsi="Times New Roman" w:eastAsia="Yu Mincho" w:cs="Times New Roman"/>
          <w:kern w:val="0"/>
          <w:sz w:val="18"/>
          <w:szCs w:val="18"/>
          <w:lang w:val="en-US" w:eastAsia="zh-CN" w:bidi="ar-SA"/>
        </w:rPr>
      </w:pPr>
      <w:r>
        <w:rPr>
          <w:rFonts w:hint="eastAsia" w:ascii="Times New Roman" w:hAnsi="Times New Roman" w:eastAsia="Yu Mincho" w:cs="Times New Roman"/>
          <w:kern w:val="0"/>
          <w:sz w:val="18"/>
          <w:szCs w:val="18"/>
          <w:lang w:val="en-US" w:eastAsia="zh-CN" w:bidi="ar-SA"/>
        </w:rPr>
        <w:t xml:space="preserve">Table </w:t>
      </w:r>
      <w:r>
        <w:rPr>
          <w:rFonts w:hint="eastAsia" w:cs="Times New Roman"/>
          <w:kern w:val="0"/>
          <w:sz w:val="18"/>
          <w:szCs w:val="18"/>
          <w:lang w:val="en-US" w:eastAsia="zh-CN" w:bidi="ar-SA"/>
        </w:rPr>
        <w:t>1</w:t>
      </w:r>
      <w:r>
        <w:rPr>
          <w:rFonts w:hint="eastAsia" w:ascii="Times New Roman" w:hAnsi="Times New Roman" w:eastAsia="Yu Mincho" w:cs="Times New Roman"/>
          <w:kern w:val="0"/>
          <w:sz w:val="18"/>
          <w:szCs w:val="18"/>
          <w:lang w:val="en-US" w:eastAsia="zh-CN" w:bidi="ar-SA"/>
        </w:rPr>
        <w:t xml:space="preserve">: </w:t>
      </w:r>
      <w:r>
        <w:rPr>
          <w:rFonts w:hint="eastAsia" w:cs="Times New Roman"/>
          <w:kern w:val="0"/>
          <w:sz w:val="18"/>
          <w:szCs w:val="18"/>
          <w:lang w:val="en-US" w:eastAsia="zh-CN" w:bidi="ar-SA"/>
        </w:rPr>
        <w:t>The MU value</w:t>
      </w:r>
      <w:r>
        <w:rPr>
          <w:rFonts w:hint="eastAsia" w:ascii="Times New Roman" w:hAnsi="Times New Roman" w:eastAsia="Yu Mincho" w:cs="Times New Roman"/>
          <w:kern w:val="0"/>
          <w:sz w:val="18"/>
          <w:szCs w:val="18"/>
          <w:lang w:val="en-US" w:eastAsia="zh-CN" w:bidi="ar-SA"/>
        </w:rPr>
        <w:t xml:space="preserve"> of radiated spurious emission</w:t>
      </w:r>
      <w:r>
        <w:rPr>
          <w:rFonts w:hint="eastAsia" w:cs="Times New Roman"/>
          <w:kern w:val="0"/>
          <w:sz w:val="18"/>
          <w:szCs w:val="18"/>
          <w:lang w:val="en-US" w:eastAsia="zh-CN" w:bidi="ar-SA"/>
        </w:rPr>
        <w:t>, with the EUT size = 2.50m</w:t>
      </w:r>
    </w:p>
    <w:tbl>
      <w:tblPr>
        <w:tblStyle w:val="76"/>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796"/>
        <w:gridCol w:w="2052"/>
        <w:gridCol w:w="2455"/>
        <w:gridCol w:w="1697"/>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0" w:hRule="atLeast"/>
          <w:jc w:val="center"/>
        </w:trPr>
        <w:tc>
          <w:tcPr>
            <w:tcW w:w="1796" w:type="dxa"/>
            <w:shd w:val="clear" w:color="auto" w:fill="auto"/>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auto"/>
              <w:rPr>
                <w:rFonts w:hint="default" w:ascii="Times New Roman" w:hAnsi="Times New Roman" w:eastAsia="Yu Mincho" w:cs="Times New Roman"/>
                <w:kern w:val="0"/>
                <w:sz w:val="18"/>
                <w:szCs w:val="18"/>
                <w:lang w:val="en-US" w:eastAsia="zh-CN" w:bidi="ar-SA"/>
              </w:rPr>
            </w:pPr>
            <w:r>
              <w:rPr>
                <w:rFonts w:hint="eastAsia" w:ascii="Times New Roman" w:hAnsi="Times New Roman" w:eastAsia="Yu Mincho" w:cs="Times New Roman"/>
                <w:kern w:val="0"/>
                <w:sz w:val="18"/>
                <w:szCs w:val="18"/>
                <w:lang w:val="en-US" w:eastAsia="zh-CN" w:bidi="ar-SA"/>
              </w:rPr>
              <w:t>Frequency</w:t>
            </w:r>
            <w:r>
              <w:rPr>
                <w:rFonts w:hint="eastAsia" w:cs="Times New Roman"/>
                <w:kern w:val="0"/>
                <w:sz w:val="18"/>
                <w:szCs w:val="18"/>
                <w:lang w:val="en-US" w:eastAsia="zh-CN" w:bidi="ar-SA"/>
              </w:rPr>
              <w:t xml:space="preserve"> Range</w:t>
            </w:r>
          </w:p>
        </w:tc>
        <w:tc>
          <w:tcPr>
            <w:tcW w:w="2052" w:type="dxa"/>
            <w:shd w:val="clear" w:color="auto" w:fill="auto"/>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auto"/>
              <w:rPr>
                <w:rFonts w:hint="eastAsia" w:ascii="Times New Roman" w:hAnsi="Times New Roman" w:eastAsia="Yu Mincho" w:cs="Times New Roman"/>
                <w:kern w:val="0"/>
                <w:sz w:val="18"/>
                <w:szCs w:val="18"/>
                <w:lang w:val="en-US" w:eastAsia="zh-CN" w:bidi="ar-SA"/>
              </w:rPr>
            </w:pPr>
            <w:r>
              <w:rPr>
                <w:rFonts w:hint="eastAsia" w:ascii="Times New Roman" w:hAnsi="Times New Roman" w:eastAsia="Yu Mincho" w:cs="Times New Roman"/>
                <w:kern w:val="0"/>
                <w:sz w:val="18"/>
                <w:szCs w:val="18"/>
                <w:lang w:val="en-US" w:eastAsia="zh-CN" w:bidi="ar-SA"/>
              </w:rPr>
              <w:t>Antenna Polarization</w:t>
            </w:r>
          </w:p>
        </w:tc>
        <w:tc>
          <w:tcPr>
            <w:tcW w:w="2455" w:type="dxa"/>
            <w:shd w:val="clear" w:color="auto" w:fill="auto"/>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auto"/>
              <w:rPr>
                <w:rFonts w:hint="eastAsia" w:ascii="Times New Roman" w:hAnsi="Times New Roman" w:eastAsia="Yu Mincho" w:cs="Times New Roman"/>
                <w:kern w:val="0"/>
                <w:sz w:val="18"/>
                <w:szCs w:val="18"/>
                <w:lang w:val="en-US" w:eastAsia="zh-CN" w:bidi="ar-SA"/>
              </w:rPr>
            </w:pPr>
            <w:r>
              <w:rPr>
                <w:rFonts w:hint="eastAsia" w:ascii="Times New Roman" w:hAnsi="Times New Roman" w:eastAsia="Yu Mincho" w:cs="Times New Roman"/>
                <w:kern w:val="0"/>
                <w:sz w:val="18"/>
                <w:szCs w:val="18"/>
                <w:lang w:val="en-US" w:eastAsia="zh-CN" w:bidi="ar-SA"/>
              </w:rPr>
              <w:t>Expanded Uncertainty</w:t>
            </w:r>
          </w:p>
        </w:tc>
        <w:tc>
          <w:tcPr>
            <w:tcW w:w="1697" w:type="dxa"/>
            <w:shd w:val="clear" w:color="auto" w:fill="auto"/>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auto"/>
              <w:rPr>
                <w:rFonts w:hint="eastAsia" w:ascii="Times New Roman" w:hAnsi="Times New Roman" w:eastAsia="Yu Mincho" w:cs="Times New Roman"/>
                <w:kern w:val="0"/>
                <w:sz w:val="18"/>
                <w:szCs w:val="18"/>
                <w:lang w:val="en-US" w:eastAsia="zh-CN" w:bidi="ar-SA"/>
              </w:rPr>
            </w:pPr>
            <w:r>
              <w:rPr>
                <w:rFonts w:hint="eastAsia" w:ascii="Times New Roman" w:hAnsi="Times New Roman" w:eastAsia="Yu Mincho" w:cs="Times New Roman"/>
                <w:kern w:val="0"/>
                <w:sz w:val="18"/>
                <w:szCs w:val="18"/>
                <w:lang w:val="en-US" w:eastAsia="zh-CN" w:bidi="ar-SA"/>
              </w:rPr>
              <w:t>Including Factor</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0" w:hRule="atLeast"/>
          <w:jc w:val="center"/>
        </w:trPr>
        <w:tc>
          <w:tcPr>
            <w:tcW w:w="1796" w:type="dxa"/>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auto"/>
              <w:rPr>
                <w:rFonts w:hint="eastAsia" w:ascii="Times New Roman" w:hAnsi="Times New Roman" w:eastAsia="Yu Mincho" w:cs="Times New Roman"/>
                <w:kern w:val="0"/>
                <w:sz w:val="18"/>
                <w:szCs w:val="18"/>
                <w:lang w:val="en-US" w:eastAsia="zh-CN" w:bidi="ar-SA"/>
              </w:rPr>
            </w:pPr>
            <w:r>
              <w:rPr>
                <w:rFonts w:hint="eastAsia" w:ascii="Times New Roman" w:hAnsi="Times New Roman" w:eastAsia="Yu Mincho" w:cs="Times New Roman"/>
                <w:kern w:val="0"/>
                <w:sz w:val="18"/>
                <w:szCs w:val="18"/>
                <w:lang w:val="en-US" w:eastAsia="zh-CN" w:bidi="ar-SA"/>
              </w:rPr>
              <w:t>6GHz-18GHz</w:t>
            </w:r>
          </w:p>
        </w:tc>
        <w:tc>
          <w:tcPr>
            <w:tcW w:w="2052"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auto"/>
              <w:rPr>
                <w:rFonts w:hint="eastAsia" w:ascii="Times New Roman" w:hAnsi="Times New Roman" w:eastAsia="Yu Mincho" w:cs="Times New Roman"/>
                <w:kern w:val="0"/>
                <w:sz w:val="18"/>
                <w:szCs w:val="18"/>
                <w:lang w:val="en-GB" w:eastAsia="en-US" w:bidi="ar-SA"/>
              </w:rPr>
            </w:pPr>
            <w:r>
              <w:rPr>
                <w:rFonts w:hint="eastAsia" w:ascii="Times New Roman" w:hAnsi="Times New Roman" w:eastAsia="Yu Mincho" w:cs="Times New Roman"/>
                <w:kern w:val="0"/>
                <w:sz w:val="18"/>
                <w:szCs w:val="18"/>
                <w:lang w:val="en-US" w:eastAsia="zh-CN" w:bidi="ar-SA"/>
              </w:rPr>
              <w:t>Vertical</w:t>
            </w:r>
          </w:p>
        </w:tc>
        <w:tc>
          <w:tcPr>
            <w:tcW w:w="2455"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auto"/>
              <w:rPr>
                <w:rFonts w:hint="default" w:ascii="Times New Roman" w:hAnsi="Times New Roman" w:eastAsia="Yu Mincho" w:cs="Times New Roman"/>
                <w:kern w:val="0"/>
                <w:sz w:val="18"/>
                <w:szCs w:val="18"/>
                <w:lang w:val="en-US" w:eastAsia="zh-CN" w:bidi="ar-SA"/>
              </w:rPr>
            </w:pPr>
            <w:r>
              <w:rPr>
                <w:rFonts w:hint="eastAsia" w:cs="Times New Roman"/>
                <w:kern w:val="0"/>
                <w:sz w:val="18"/>
                <w:szCs w:val="18"/>
                <w:lang w:val="en-US" w:eastAsia="zh-CN" w:bidi="ar-SA"/>
              </w:rPr>
              <w:t>6.33 dB</w:t>
            </w:r>
          </w:p>
        </w:tc>
        <w:tc>
          <w:tcPr>
            <w:tcW w:w="1697"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auto"/>
              <w:rPr>
                <w:rFonts w:hint="eastAsia" w:ascii="Times New Roman" w:hAnsi="Times New Roman" w:eastAsia="Yu Mincho" w:cs="Times New Roman"/>
                <w:kern w:val="0"/>
                <w:sz w:val="18"/>
                <w:szCs w:val="18"/>
                <w:lang w:val="en-US" w:eastAsia="zh-CN" w:bidi="ar-SA"/>
              </w:rPr>
            </w:pPr>
            <w:r>
              <w:rPr>
                <w:rFonts w:hint="eastAsia" w:ascii="Times New Roman" w:hAnsi="Times New Roman" w:eastAsia="Yu Mincho" w:cs="Times New Roman"/>
                <w:kern w:val="0"/>
                <w:sz w:val="18"/>
                <w:szCs w:val="18"/>
                <w:lang w:val="en-US" w:eastAsia="zh-CN" w:bidi="ar-SA"/>
              </w:rPr>
              <w:t>k=2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0" w:hRule="atLeast"/>
          <w:jc w:val="center"/>
        </w:trPr>
        <w:tc>
          <w:tcPr>
            <w:tcW w:w="1796"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auto"/>
              <w:rPr>
                <w:rFonts w:hint="eastAsia" w:ascii="Times New Roman" w:hAnsi="Times New Roman" w:eastAsia="Yu Mincho" w:cs="Times New Roman"/>
                <w:kern w:val="0"/>
                <w:sz w:val="18"/>
                <w:szCs w:val="18"/>
                <w:lang w:val="en-US" w:eastAsia="zh-CN" w:bidi="ar-SA"/>
              </w:rPr>
            </w:pPr>
          </w:p>
        </w:tc>
        <w:tc>
          <w:tcPr>
            <w:tcW w:w="2052"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auto"/>
              <w:rPr>
                <w:rFonts w:hint="default" w:ascii="Times New Roman" w:hAnsi="Times New Roman" w:eastAsia="Yu Mincho" w:cs="Times New Roman"/>
                <w:kern w:val="0"/>
                <w:sz w:val="18"/>
                <w:szCs w:val="18"/>
                <w:lang w:val="en-US" w:eastAsia="zh-CN" w:bidi="ar-SA"/>
              </w:rPr>
            </w:pPr>
            <w:r>
              <w:rPr>
                <w:rFonts w:hint="eastAsia" w:ascii="Times New Roman" w:hAnsi="Times New Roman" w:eastAsia="Yu Mincho" w:cs="Times New Roman"/>
                <w:kern w:val="0"/>
                <w:sz w:val="18"/>
                <w:szCs w:val="18"/>
                <w:lang w:val="en-US" w:eastAsia="zh-CN" w:bidi="ar-SA"/>
              </w:rPr>
              <w:t>Horizontal</w:t>
            </w:r>
          </w:p>
        </w:tc>
        <w:tc>
          <w:tcPr>
            <w:tcW w:w="2455"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auto"/>
              <w:rPr>
                <w:rFonts w:hint="default" w:ascii="Times New Roman" w:hAnsi="Times New Roman" w:eastAsia="Yu Mincho" w:cs="Times New Roman"/>
                <w:kern w:val="0"/>
                <w:sz w:val="18"/>
                <w:szCs w:val="18"/>
                <w:lang w:val="en-US" w:eastAsia="zh-CN" w:bidi="ar-SA"/>
              </w:rPr>
            </w:pPr>
            <w:r>
              <w:rPr>
                <w:rFonts w:hint="eastAsia" w:cs="Times New Roman"/>
                <w:kern w:val="0"/>
                <w:sz w:val="18"/>
                <w:szCs w:val="18"/>
                <w:lang w:val="en-US" w:eastAsia="zh-CN" w:bidi="ar-SA"/>
              </w:rPr>
              <w:t>6.74 dB</w:t>
            </w:r>
          </w:p>
        </w:tc>
        <w:tc>
          <w:tcPr>
            <w:tcW w:w="1697"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ind w:left="0"/>
              <w:jc w:val="center"/>
              <w:textAlignment w:val="auto"/>
              <w:rPr>
                <w:rFonts w:hint="eastAsia" w:ascii="Times New Roman" w:hAnsi="Times New Roman" w:eastAsia="Yu Mincho" w:cs="Times New Roman"/>
                <w:kern w:val="0"/>
                <w:sz w:val="18"/>
                <w:szCs w:val="18"/>
                <w:lang w:val="en-US" w:eastAsia="zh-CN" w:bidi="ar-SA"/>
              </w:rPr>
            </w:pPr>
            <w:r>
              <w:rPr>
                <w:rFonts w:hint="eastAsia" w:ascii="Times New Roman" w:hAnsi="Times New Roman" w:eastAsia="Yu Mincho" w:cs="Times New Roman"/>
                <w:kern w:val="0"/>
                <w:sz w:val="18"/>
                <w:szCs w:val="18"/>
                <w:lang w:val="en-US" w:eastAsia="zh-CN" w:bidi="ar-SA"/>
              </w:rPr>
              <w:t>k=2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0" w:hRule="atLeast"/>
          <w:jc w:val="center"/>
        </w:trPr>
        <w:tc>
          <w:tcPr>
            <w:tcW w:w="1796" w:type="dxa"/>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spacing w:after="0"/>
              <w:ind w:left="0" w:leftChars="0"/>
              <w:jc w:val="center"/>
              <w:textAlignment w:val="auto"/>
              <w:rPr>
                <w:rFonts w:hint="eastAsia" w:ascii="Times New Roman" w:hAnsi="Times New Roman" w:eastAsia="Yu Mincho" w:cs="Times New Roman"/>
                <w:kern w:val="0"/>
                <w:sz w:val="18"/>
                <w:szCs w:val="18"/>
                <w:lang w:val="en-US" w:eastAsia="zh-CN" w:bidi="ar-SA"/>
              </w:rPr>
            </w:pPr>
            <w:r>
              <w:rPr>
                <w:rFonts w:hint="eastAsia" w:ascii="Times New Roman" w:hAnsi="Times New Roman" w:eastAsia="Yu Mincho" w:cs="Times New Roman"/>
                <w:kern w:val="0"/>
                <w:sz w:val="18"/>
                <w:szCs w:val="18"/>
                <w:lang w:val="en-US" w:eastAsia="zh-CN" w:bidi="ar-SA"/>
              </w:rPr>
              <w:t>18GHz-40GHz</w:t>
            </w:r>
          </w:p>
        </w:tc>
        <w:tc>
          <w:tcPr>
            <w:tcW w:w="2052"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ind w:left="0" w:leftChars="0"/>
              <w:jc w:val="center"/>
              <w:textAlignment w:val="auto"/>
              <w:rPr>
                <w:rFonts w:hint="eastAsia" w:ascii="Times New Roman" w:hAnsi="Times New Roman" w:eastAsia="Yu Mincho" w:cs="Times New Roman"/>
                <w:kern w:val="0"/>
                <w:sz w:val="18"/>
                <w:szCs w:val="18"/>
                <w:lang w:val="en-US" w:eastAsia="zh-CN" w:bidi="ar-SA"/>
              </w:rPr>
            </w:pPr>
            <w:r>
              <w:rPr>
                <w:rFonts w:hint="eastAsia" w:ascii="Times New Roman" w:hAnsi="Times New Roman" w:eastAsia="Yu Mincho" w:cs="Times New Roman"/>
                <w:kern w:val="0"/>
                <w:sz w:val="18"/>
                <w:szCs w:val="18"/>
                <w:lang w:val="en-US" w:eastAsia="zh-CN" w:bidi="ar-SA"/>
              </w:rPr>
              <w:t>Vertical</w:t>
            </w:r>
          </w:p>
        </w:tc>
        <w:tc>
          <w:tcPr>
            <w:tcW w:w="2455"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ind w:left="0" w:leftChars="0"/>
              <w:jc w:val="center"/>
              <w:textAlignment w:val="auto"/>
              <w:rPr>
                <w:rFonts w:hint="default" w:ascii="Times New Roman" w:hAnsi="Times New Roman" w:eastAsia="Yu Mincho" w:cs="Times New Roman"/>
                <w:kern w:val="0"/>
                <w:sz w:val="18"/>
                <w:szCs w:val="18"/>
                <w:lang w:val="en-US" w:eastAsia="zh-CN" w:bidi="ar-SA"/>
              </w:rPr>
            </w:pPr>
            <w:r>
              <w:rPr>
                <w:rFonts w:hint="eastAsia" w:cs="Times New Roman"/>
                <w:kern w:val="0"/>
                <w:sz w:val="18"/>
                <w:szCs w:val="18"/>
                <w:lang w:val="en-US" w:eastAsia="zh-CN" w:bidi="ar-SA"/>
              </w:rPr>
              <w:t>6.66 dB</w:t>
            </w:r>
          </w:p>
        </w:tc>
        <w:tc>
          <w:tcPr>
            <w:tcW w:w="1697"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ind w:left="0" w:leftChars="0"/>
              <w:jc w:val="center"/>
              <w:textAlignment w:val="auto"/>
              <w:rPr>
                <w:rFonts w:hint="eastAsia" w:ascii="Times New Roman" w:hAnsi="Times New Roman" w:eastAsia="Yu Mincho" w:cs="Times New Roman"/>
                <w:kern w:val="0"/>
                <w:sz w:val="18"/>
                <w:szCs w:val="18"/>
                <w:lang w:val="en-US" w:eastAsia="zh-CN" w:bidi="ar-SA"/>
              </w:rPr>
            </w:pPr>
            <w:r>
              <w:rPr>
                <w:rFonts w:hint="eastAsia" w:ascii="Times New Roman" w:hAnsi="Times New Roman" w:eastAsia="Yu Mincho" w:cs="Times New Roman"/>
                <w:kern w:val="0"/>
                <w:sz w:val="18"/>
                <w:szCs w:val="18"/>
                <w:lang w:val="en-US" w:eastAsia="zh-CN" w:bidi="ar-SA"/>
              </w:rPr>
              <w:t>k=2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0" w:hRule="atLeast"/>
          <w:jc w:val="center"/>
        </w:trPr>
        <w:tc>
          <w:tcPr>
            <w:tcW w:w="1796"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ind w:left="0" w:leftChars="0"/>
              <w:jc w:val="center"/>
              <w:textAlignment w:val="auto"/>
              <w:rPr>
                <w:rFonts w:hint="eastAsia" w:ascii="Times New Roman" w:hAnsi="Times New Roman" w:eastAsia="Yu Mincho" w:cs="Times New Roman"/>
                <w:kern w:val="0"/>
                <w:sz w:val="18"/>
                <w:szCs w:val="18"/>
                <w:lang w:val="en-US" w:eastAsia="zh-CN" w:bidi="ar-SA"/>
              </w:rPr>
            </w:pPr>
          </w:p>
        </w:tc>
        <w:tc>
          <w:tcPr>
            <w:tcW w:w="2052"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ind w:left="0" w:leftChars="0"/>
              <w:jc w:val="center"/>
              <w:textAlignment w:val="auto"/>
              <w:rPr>
                <w:rFonts w:hint="eastAsia" w:ascii="Times New Roman" w:hAnsi="Times New Roman" w:eastAsia="Yu Mincho" w:cs="Times New Roman"/>
                <w:kern w:val="0"/>
                <w:sz w:val="18"/>
                <w:szCs w:val="18"/>
                <w:lang w:val="en-US" w:eastAsia="zh-CN" w:bidi="ar-SA"/>
              </w:rPr>
            </w:pPr>
            <w:r>
              <w:rPr>
                <w:rFonts w:hint="eastAsia" w:ascii="Times New Roman" w:hAnsi="Times New Roman" w:eastAsia="Yu Mincho" w:cs="Times New Roman"/>
                <w:kern w:val="0"/>
                <w:sz w:val="18"/>
                <w:szCs w:val="18"/>
                <w:lang w:val="en-US" w:eastAsia="zh-CN" w:bidi="ar-SA"/>
              </w:rPr>
              <w:t>Horizontal</w:t>
            </w:r>
          </w:p>
        </w:tc>
        <w:tc>
          <w:tcPr>
            <w:tcW w:w="2455"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ind w:left="0" w:leftChars="0"/>
              <w:jc w:val="center"/>
              <w:textAlignment w:val="auto"/>
              <w:rPr>
                <w:rFonts w:hint="default" w:ascii="Times New Roman" w:hAnsi="Times New Roman" w:eastAsia="Yu Mincho" w:cs="Times New Roman"/>
                <w:kern w:val="0"/>
                <w:sz w:val="18"/>
                <w:szCs w:val="18"/>
                <w:lang w:val="en-US" w:eastAsia="zh-CN" w:bidi="ar-SA"/>
              </w:rPr>
            </w:pPr>
            <w:r>
              <w:rPr>
                <w:rFonts w:hint="eastAsia" w:cs="Times New Roman"/>
                <w:kern w:val="0"/>
                <w:sz w:val="18"/>
                <w:szCs w:val="18"/>
                <w:lang w:val="en-US" w:eastAsia="zh-CN" w:bidi="ar-SA"/>
              </w:rPr>
              <w:t>7.05 dB</w:t>
            </w:r>
          </w:p>
        </w:tc>
        <w:tc>
          <w:tcPr>
            <w:tcW w:w="1697"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ind w:left="0" w:leftChars="0"/>
              <w:jc w:val="center"/>
              <w:textAlignment w:val="auto"/>
              <w:rPr>
                <w:rFonts w:hint="eastAsia" w:ascii="Times New Roman" w:hAnsi="Times New Roman" w:eastAsia="Yu Mincho" w:cs="Times New Roman"/>
                <w:kern w:val="0"/>
                <w:sz w:val="18"/>
                <w:szCs w:val="18"/>
                <w:lang w:val="en-US" w:eastAsia="zh-CN" w:bidi="ar-SA"/>
              </w:rPr>
            </w:pPr>
            <w:r>
              <w:rPr>
                <w:rFonts w:hint="eastAsia" w:ascii="Times New Roman" w:hAnsi="Times New Roman" w:eastAsia="Yu Mincho" w:cs="Times New Roman"/>
                <w:kern w:val="0"/>
                <w:sz w:val="18"/>
                <w:szCs w:val="18"/>
                <w:lang w:val="en-US" w:eastAsia="zh-CN" w:bidi="ar-SA"/>
              </w:rPr>
              <w:t>k=2</w:t>
            </w:r>
          </w:p>
        </w:tc>
      </w:tr>
    </w:tbl>
    <w:p>
      <w:pPr>
        <w:keepNext w:val="0"/>
        <w:keepLines w:val="0"/>
        <w:pageBreakBefore w:val="0"/>
        <w:widowControl/>
        <w:kinsoku/>
        <w:wordWrap/>
        <w:overflowPunct/>
        <w:topLinePunct w:val="0"/>
        <w:autoSpaceDE/>
        <w:autoSpaceDN/>
        <w:bidi w:val="0"/>
        <w:adjustRightInd/>
        <w:snapToGrid/>
        <w:spacing w:before="180"/>
        <w:textAlignment w:val="auto"/>
        <w:rPr>
          <w:rFonts w:hint="eastAsia"/>
          <w:color w:val="auto"/>
          <w:sz w:val="20"/>
          <w:szCs w:val="20"/>
          <w:highlight w:val="none"/>
          <w:lang w:val="en-US" w:eastAsia="zh-CN"/>
        </w:rPr>
      </w:pPr>
      <w:r>
        <w:rPr>
          <w:rFonts w:hint="eastAsia"/>
          <w:color w:val="auto"/>
          <w:sz w:val="20"/>
          <w:szCs w:val="20"/>
          <w:highlight w:val="none"/>
          <w:lang w:val="en-US" w:eastAsia="zh-CN"/>
        </w:rPr>
        <w:t>According to the conclusion from table 1, the maximum MU value raises up to 7.05dB over the given frequency range, which is greater than 6dB.</w:t>
      </w:r>
    </w:p>
    <w:p>
      <w:pPr>
        <w:keepNext w:val="0"/>
        <w:keepLines w:val="0"/>
        <w:pageBreakBefore w:val="0"/>
        <w:widowControl/>
        <w:kinsoku/>
        <w:wordWrap/>
        <w:overflowPunct/>
        <w:topLinePunct w:val="0"/>
        <w:autoSpaceDE/>
        <w:autoSpaceDN/>
        <w:bidi w:val="0"/>
        <w:adjustRightInd/>
        <w:snapToGrid/>
        <w:spacing w:before="180"/>
        <w:textAlignment w:val="auto"/>
        <w:rPr>
          <w:rFonts w:hint="eastAsia"/>
          <w:color w:val="auto"/>
          <w:sz w:val="20"/>
          <w:szCs w:val="20"/>
          <w:highlight w:val="none"/>
          <w:lang w:val="en-US" w:eastAsia="zh-CN"/>
        </w:rPr>
      </w:pPr>
      <w:r>
        <w:rPr>
          <w:rFonts w:hint="eastAsia"/>
          <w:color w:val="auto"/>
          <w:sz w:val="20"/>
          <w:szCs w:val="20"/>
          <w:highlight w:val="none"/>
          <w:lang w:val="en-US" w:eastAsia="zh-CN"/>
        </w:rPr>
        <w:t>To study more relationship between the EUT size and  the maximum MU value, we calculate MU value of the big size EUT with different sizes, such as 2.0m, 2.2m, 2.5m, 2.8m and 3.0m, and the figure of the relationship is shown as below:</w:t>
      </w:r>
    </w:p>
    <w:p>
      <w:pPr>
        <w:keepNext w:val="0"/>
        <w:keepLines w:val="0"/>
        <w:pageBreakBefore w:val="0"/>
        <w:widowControl/>
        <w:kinsoku/>
        <w:wordWrap/>
        <w:overflowPunct/>
        <w:topLinePunct w:val="0"/>
        <w:autoSpaceDE/>
        <w:autoSpaceDN/>
        <w:bidi w:val="0"/>
        <w:adjustRightInd/>
        <w:snapToGrid/>
        <w:spacing w:before="180"/>
        <w:jc w:val="center"/>
        <w:textAlignment w:val="auto"/>
        <w:rPr>
          <w:rFonts w:hint="default"/>
          <w:color w:val="auto"/>
          <w:sz w:val="20"/>
          <w:szCs w:val="20"/>
          <w:highlight w:val="none"/>
          <w:lang w:val="en-US" w:eastAsia="zh-CN"/>
        </w:rPr>
      </w:pPr>
      <w:r>
        <w:drawing>
          <wp:inline distT="0" distB="0" distL="114300" distR="114300">
            <wp:extent cx="4737100" cy="2616200"/>
            <wp:effectExtent l="4445" t="4445" r="13335" b="15875"/>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pPr>
        <w:bidi w:val="0"/>
        <w:rPr>
          <w:rFonts w:hint="default" w:eastAsia="宋体"/>
          <w:b w:val="0"/>
          <w:bCs/>
          <w:i w:val="0"/>
          <w:iCs/>
          <w:color w:val="000000" w:themeColor="text1"/>
          <w:sz w:val="20"/>
          <w:szCs w:val="20"/>
          <w:highlight w:val="none"/>
          <w:lang w:val="en-US" w:eastAsia="zh-CN"/>
          <w14:textFill>
            <w14:solidFill>
              <w14:schemeClr w14:val="tx1"/>
            </w14:solidFill>
          </w14:textFill>
        </w:rPr>
      </w:pPr>
      <w:r>
        <w:rPr>
          <w:rFonts w:hint="eastAsia" w:eastAsia="宋体"/>
          <w:b w:val="0"/>
          <w:bCs/>
          <w:i w:val="0"/>
          <w:iCs/>
          <w:color w:val="000000" w:themeColor="text1"/>
          <w:sz w:val="20"/>
          <w:szCs w:val="20"/>
          <w:highlight w:val="none"/>
          <w:lang w:val="en-US" w:eastAsia="zh-CN"/>
          <w14:textFill>
            <w14:solidFill>
              <w14:schemeClr w14:val="tx1"/>
            </w14:solidFill>
          </w14:textFill>
        </w:rPr>
        <w:t>It can be seen that the maximum MU values are increased with the EUT size increased. When the EUT size = 2m, the maximum MU value equals to about 6.49dB, which is larger than 6dB. It should be noted that t</w:t>
      </w:r>
      <w:r>
        <w:rPr>
          <w:rFonts w:hint="eastAsia"/>
          <w:color w:val="auto"/>
          <w:sz w:val="20"/>
          <w:szCs w:val="20"/>
          <w:highlight w:val="none"/>
          <w:lang w:val="en-US" w:eastAsia="zh-CN"/>
        </w:rPr>
        <w:t>he maximum MU value with EUT size=1.30m is 5.53dB in our discus</w:t>
      </w:r>
      <w:r>
        <w:rPr>
          <w:rFonts w:hint="eastAsia"/>
          <w:i w:val="0"/>
          <w:iCs w:val="0"/>
          <w:color w:val="auto"/>
          <w:sz w:val="20"/>
          <w:szCs w:val="20"/>
          <w:highlight w:val="none"/>
          <w:lang w:val="en-US" w:eastAsia="zh-CN"/>
        </w:rPr>
        <w:t xml:space="preserve">sion </w:t>
      </w:r>
      <w:r>
        <w:rPr>
          <w:rFonts w:hint="eastAsia"/>
          <w:i w:val="0"/>
          <w:iCs w:val="0"/>
          <w:color w:val="auto"/>
          <w:sz w:val="20"/>
          <w:szCs w:val="20"/>
          <w:highlight w:val="none"/>
          <w:lang w:val="en-US" w:eastAsia="sv-SE"/>
        </w:rPr>
        <w:t>R4-2204429</w:t>
      </w:r>
      <w:r>
        <w:rPr>
          <w:rFonts w:hint="eastAsia"/>
          <w:i w:val="0"/>
          <w:iCs w:val="0"/>
          <w:color w:val="auto"/>
          <w:sz w:val="20"/>
          <w:szCs w:val="20"/>
          <w:highlight w:val="none"/>
          <w:lang w:val="en-US" w:eastAsia="zh-CN"/>
        </w:rPr>
        <w:t xml:space="preserve"> [2] from the contribution of last meeting. </w:t>
      </w:r>
    </w:p>
    <w:p>
      <w:pPr>
        <w:bidi w:val="0"/>
        <w:rPr>
          <w:rFonts w:hint="eastAsia"/>
          <w:color w:val="auto"/>
          <w:sz w:val="20"/>
          <w:szCs w:val="20"/>
          <w:highlight w:val="none"/>
          <w:lang w:val="en-US" w:eastAsia="zh-CN"/>
        </w:rPr>
      </w:pPr>
      <w:r>
        <w:rPr>
          <w:rFonts w:hint="eastAsia" w:eastAsia="宋体"/>
          <w:b/>
          <w:bCs w:val="0"/>
          <w:i w:val="0"/>
          <w:iCs/>
          <w:color w:val="000000" w:themeColor="text1"/>
          <w:sz w:val="20"/>
          <w:szCs w:val="20"/>
          <w:highlight w:val="none"/>
          <w:lang w:val="en-US" w:eastAsia="zh-CN"/>
          <w14:textFill>
            <w14:solidFill>
              <w14:schemeClr w14:val="tx1"/>
            </w14:solidFill>
          </w14:textFill>
        </w:rPr>
        <w:t xml:space="preserve">Observation 2: </w:t>
      </w:r>
      <w:r>
        <w:rPr>
          <w:rFonts w:hint="eastAsia"/>
          <w:color w:val="auto"/>
          <w:sz w:val="20"/>
          <w:szCs w:val="20"/>
          <w:highlight w:val="none"/>
          <w:lang w:val="en-US" w:eastAsia="zh-CN"/>
        </w:rPr>
        <w:t>The MU values in terms of</w:t>
      </w:r>
      <w:r>
        <w:rPr>
          <w:rFonts w:hint="eastAsia"/>
          <w:sz w:val="20"/>
          <w:szCs w:val="20"/>
          <w:lang w:val="en-US" w:eastAsia="zh-CN"/>
        </w:rPr>
        <w:t xml:space="preserve"> the calculation model of ETSI</w:t>
      </w:r>
      <w:r>
        <w:rPr>
          <w:rFonts w:hint="eastAsia"/>
          <w:color w:val="auto"/>
          <w:sz w:val="20"/>
          <w:szCs w:val="20"/>
          <w:highlight w:val="none"/>
          <w:lang w:val="en-US" w:eastAsia="zh-CN"/>
        </w:rPr>
        <w:t xml:space="preserve"> TR 100 028-1 for radiated spurious emission with large than 2m big size EUT would be exceed 6dB.</w:t>
      </w:r>
    </w:p>
    <w:p>
      <w:pPr>
        <w:keepNext w:val="0"/>
        <w:keepLines w:val="0"/>
        <w:pageBreakBefore w:val="0"/>
        <w:widowControl/>
        <w:kinsoku/>
        <w:wordWrap/>
        <w:overflowPunct/>
        <w:topLinePunct w:val="0"/>
        <w:autoSpaceDE/>
        <w:autoSpaceDN/>
        <w:bidi w:val="0"/>
        <w:adjustRightInd/>
        <w:snapToGrid/>
        <w:ind w:left="0" w:leftChars="0" w:firstLine="0" w:firstLineChars="0"/>
        <w:textAlignment w:val="auto"/>
        <w:rPr>
          <w:rFonts w:hint="eastAsia"/>
          <w:color w:val="auto"/>
          <w:sz w:val="20"/>
          <w:szCs w:val="20"/>
          <w:highlight w:val="none"/>
          <w:lang w:val="en-US" w:eastAsia="zh-CN"/>
        </w:rPr>
      </w:pPr>
      <w:r>
        <w:rPr>
          <w:rFonts w:hint="eastAsia"/>
          <w:i w:val="0"/>
          <w:iCs w:val="0"/>
          <w:color w:val="auto"/>
          <w:sz w:val="20"/>
          <w:szCs w:val="20"/>
          <w:highlight w:val="none"/>
          <w:lang w:val="en-US" w:eastAsia="zh-CN"/>
        </w:rPr>
        <w:t>Therefore, the maximum MU value with 6dB is not enough for big size EUT. Considering 9dB was already defined in the specification for u</w:t>
      </w:r>
      <w:r>
        <w:rPr>
          <w:rFonts w:hint="eastAsia" w:ascii="Times New Roman" w:hAnsi="Times New Roman" w:eastAsia="Yu Mincho" w:cs="Times New Roman"/>
          <w:b w:val="0"/>
          <w:i w:val="0"/>
          <w:iCs w:val="0"/>
          <w:color w:val="auto"/>
          <w:sz w:val="20"/>
          <w:szCs w:val="20"/>
          <w:highlight w:val="none"/>
          <w:lang w:val="en-US" w:eastAsia="zh-CN" w:bidi="ar-SA"/>
        </w:rPr>
        <w:t xml:space="preserve">ncertainty for </w:t>
      </w:r>
      <w:bookmarkStart w:id="12" w:name="OLE_LINK5"/>
      <w:r>
        <w:rPr>
          <w:rFonts w:hint="eastAsia" w:ascii="Times New Roman" w:hAnsi="Times New Roman" w:eastAsia="Yu Mincho" w:cs="Times New Roman"/>
          <w:b w:val="0"/>
          <w:i w:val="0"/>
          <w:iCs w:val="0"/>
          <w:color w:val="auto"/>
          <w:sz w:val="20"/>
          <w:szCs w:val="20"/>
          <w:highlight w:val="none"/>
          <w:lang w:val="en-US" w:eastAsia="zh-CN" w:bidi="ar-SA"/>
        </w:rPr>
        <w:t>EUT dimension &gt;1 m</w:t>
      </w:r>
      <w:bookmarkEnd w:id="12"/>
      <w:r>
        <w:rPr>
          <w:rFonts w:hint="eastAsia" w:cs="Times New Roman"/>
          <w:b w:val="0"/>
          <w:i w:val="0"/>
          <w:iCs w:val="0"/>
          <w:color w:val="auto"/>
          <w:sz w:val="20"/>
          <w:szCs w:val="20"/>
          <w:highlight w:val="none"/>
          <w:lang w:val="en-US" w:eastAsia="zh-CN" w:bidi="ar-SA"/>
        </w:rPr>
        <w:t xml:space="preserve"> and there were no extra details for other ranges such as </w:t>
      </w:r>
      <w:r>
        <w:rPr>
          <w:rFonts w:hint="eastAsia" w:ascii="Times New Roman" w:hAnsi="Times New Roman" w:eastAsia="Yu Mincho" w:cs="Times New Roman"/>
          <w:b w:val="0"/>
          <w:i w:val="0"/>
          <w:iCs w:val="0"/>
          <w:color w:val="auto"/>
          <w:sz w:val="20"/>
          <w:szCs w:val="20"/>
          <w:highlight w:val="none"/>
          <w:lang w:val="en-US" w:eastAsia="zh-CN" w:bidi="ar-SA"/>
        </w:rPr>
        <w:t>EUT dimension &gt;1</w:t>
      </w:r>
      <w:r>
        <w:rPr>
          <w:rFonts w:hint="eastAsia" w:cs="Times New Roman"/>
          <w:b w:val="0"/>
          <w:i w:val="0"/>
          <w:iCs w:val="0"/>
          <w:color w:val="auto"/>
          <w:sz w:val="20"/>
          <w:szCs w:val="20"/>
          <w:highlight w:val="none"/>
          <w:lang w:val="en-US" w:eastAsia="zh-CN" w:bidi="ar-SA"/>
        </w:rPr>
        <w:t>.5</w:t>
      </w:r>
      <w:r>
        <w:rPr>
          <w:rFonts w:hint="eastAsia" w:ascii="Times New Roman" w:hAnsi="Times New Roman" w:eastAsia="Yu Mincho" w:cs="Times New Roman"/>
          <w:b w:val="0"/>
          <w:i w:val="0"/>
          <w:iCs w:val="0"/>
          <w:color w:val="auto"/>
          <w:sz w:val="20"/>
          <w:szCs w:val="20"/>
          <w:highlight w:val="none"/>
          <w:lang w:val="en-US" w:eastAsia="zh-CN" w:bidi="ar-SA"/>
        </w:rPr>
        <w:t xml:space="preserve"> m</w:t>
      </w:r>
      <w:r>
        <w:rPr>
          <w:rFonts w:hint="eastAsia" w:cs="Times New Roman"/>
          <w:b w:val="0"/>
          <w:i w:val="0"/>
          <w:iCs w:val="0"/>
          <w:color w:val="auto"/>
          <w:sz w:val="20"/>
          <w:szCs w:val="20"/>
          <w:highlight w:val="none"/>
          <w:lang w:val="en-US" w:eastAsia="zh-CN" w:bidi="ar-SA"/>
        </w:rPr>
        <w:t xml:space="preserve"> or 2 m. Therefore, we think</w:t>
      </w:r>
      <w:r>
        <w:rPr>
          <w:rFonts w:hint="eastAsia"/>
          <w:color w:val="auto"/>
          <w:sz w:val="20"/>
          <w:szCs w:val="20"/>
          <w:highlight w:val="none"/>
          <w:lang w:val="en-US" w:eastAsia="zh-CN"/>
        </w:rPr>
        <w:t xml:space="preserve"> the current range can be kept (</w:t>
      </w:r>
      <w:r>
        <w:rPr>
          <w:rFonts w:hint="eastAsia" w:ascii="Times New Roman" w:hAnsi="Times New Roman" w:eastAsia="Yu Mincho" w:cs="Times New Roman"/>
          <w:b w:val="0"/>
          <w:i w:val="0"/>
          <w:iCs w:val="0"/>
          <w:color w:val="auto"/>
          <w:sz w:val="20"/>
          <w:szCs w:val="20"/>
          <w:highlight w:val="none"/>
          <w:lang w:val="en-US" w:eastAsia="zh-CN" w:bidi="ar-SA"/>
        </w:rPr>
        <w:t>EUT dimension &gt;1 m</w:t>
      </w:r>
      <w:r>
        <w:rPr>
          <w:rFonts w:hint="eastAsia"/>
          <w:color w:val="auto"/>
          <w:sz w:val="20"/>
          <w:szCs w:val="20"/>
          <w:highlight w:val="none"/>
          <w:lang w:val="en-US" w:eastAsia="zh-CN"/>
        </w:rPr>
        <w:t>), and it is recommended that 9dB maximum MU value is reused for this range.</w:t>
      </w:r>
    </w:p>
    <w:p>
      <w:pPr>
        <w:keepNext w:val="0"/>
        <w:keepLines w:val="0"/>
        <w:pageBreakBefore w:val="0"/>
        <w:widowControl/>
        <w:kinsoku/>
        <w:wordWrap/>
        <w:overflowPunct/>
        <w:topLinePunct w:val="0"/>
        <w:autoSpaceDE/>
        <w:autoSpaceDN/>
        <w:bidi w:val="0"/>
        <w:adjustRightInd/>
        <w:snapToGrid/>
        <w:ind w:left="0" w:leftChars="0" w:firstLine="0" w:firstLineChars="0"/>
        <w:textAlignment w:val="auto"/>
        <w:rPr>
          <w:rFonts w:hint="default"/>
          <w:color w:val="auto"/>
          <w:sz w:val="20"/>
          <w:szCs w:val="20"/>
          <w:highlight w:val="none"/>
          <w:lang w:val="en-US" w:eastAsia="zh-CN"/>
        </w:rPr>
      </w:pPr>
      <w:r>
        <w:rPr>
          <w:rFonts w:hint="eastAsia" w:eastAsia="宋体"/>
          <w:b/>
          <w:bCs w:val="0"/>
          <w:i w:val="0"/>
          <w:iCs/>
          <w:color w:val="000000" w:themeColor="text1"/>
          <w:sz w:val="20"/>
          <w:szCs w:val="20"/>
          <w:highlight w:val="none"/>
          <w:lang w:val="en-US" w:eastAsia="zh-CN"/>
          <w14:textFill>
            <w14:solidFill>
              <w14:schemeClr w14:val="tx1"/>
            </w14:solidFill>
          </w14:textFill>
        </w:rPr>
        <w:t xml:space="preserve">Proposal 1: </w:t>
      </w:r>
      <w:r>
        <w:rPr>
          <w:rFonts w:hint="eastAsia"/>
          <w:color w:val="auto"/>
          <w:sz w:val="20"/>
          <w:szCs w:val="20"/>
          <w:highlight w:val="none"/>
          <w:lang w:val="en-US" w:eastAsia="zh-CN"/>
        </w:rPr>
        <w:t>I</w:t>
      </w:r>
      <w:bookmarkStart w:id="13" w:name="OLE_LINK6"/>
      <w:r>
        <w:rPr>
          <w:rFonts w:hint="eastAsia"/>
          <w:color w:val="auto"/>
          <w:sz w:val="20"/>
          <w:szCs w:val="20"/>
          <w:highlight w:val="none"/>
          <w:lang w:val="en-US" w:eastAsia="zh-CN"/>
        </w:rPr>
        <w:t xml:space="preserve">t is </w:t>
      </w:r>
      <w:bookmarkStart w:id="14" w:name="OLE_LINK4"/>
      <w:r>
        <w:rPr>
          <w:rFonts w:hint="eastAsia"/>
          <w:color w:val="auto"/>
          <w:sz w:val="20"/>
          <w:szCs w:val="20"/>
          <w:highlight w:val="none"/>
          <w:lang w:val="en-US" w:eastAsia="zh-CN"/>
        </w:rPr>
        <w:t>recommended</w:t>
      </w:r>
      <w:bookmarkEnd w:id="13"/>
      <w:r>
        <w:rPr>
          <w:rFonts w:hint="eastAsia"/>
          <w:color w:val="auto"/>
          <w:sz w:val="20"/>
          <w:szCs w:val="20"/>
          <w:highlight w:val="none"/>
          <w:lang w:val="en-US" w:eastAsia="zh-CN"/>
        </w:rPr>
        <w:t xml:space="preserve"> that the </w:t>
      </w:r>
      <w:bookmarkStart w:id="15" w:name="OLE_LINK7"/>
      <w:r>
        <w:rPr>
          <w:rFonts w:hint="eastAsia"/>
          <w:color w:val="auto"/>
          <w:sz w:val="20"/>
          <w:szCs w:val="20"/>
          <w:highlight w:val="none"/>
          <w:lang w:val="en-US" w:eastAsia="zh-CN"/>
        </w:rPr>
        <w:t>maximum MU value</w:t>
      </w:r>
      <w:bookmarkEnd w:id="15"/>
      <w:r>
        <w:rPr>
          <w:rFonts w:hint="eastAsia"/>
          <w:color w:val="auto"/>
          <w:sz w:val="20"/>
          <w:szCs w:val="20"/>
          <w:highlight w:val="none"/>
          <w:lang w:val="en-US" w:eastAsia="zh-CN"/>
        </w:rPr>
        <w:t xml:space="preserve"> between 12,75 GHz and 26 GHz with EUT size</w:t>
      </w:r>
      <w:bookmarkEnd w:id="14"/>
      <w:r>
        <w:rPr>
          <w:rFonts w:hint="eastAsia"/>
          <w:color w:val="auto"/>
          <w:sz w:val="20"/>
          <w:szCs w:val="20"/>
          <w:highlight w:val="none"/>
          <w:lang w:val="en-US" w:eastAsia="zh-CN"/>
        </w:rPr>
        <w:t xml:space="preserve"> greater than 1m in BS EMC specification should be 9dB.</w:t>
      </w:r>
    </w:p>
    <w:p>
      <w:pPr>
        <w:pStyle w:val="2"/>
        <w:numPr>
          <w:ilvl w:val="0"/>
          <w:numId w:val="11"/>
        </w:numPr>
        <w:rPr>
          <w:rFonts w:hint="eastAsia" w:ascii="Arial" w:hAnsi="Arial" w:eastAsia="宋体"/>
          <w:b/>
          <w:color w:val="auto"/>
          <w:sz w:val="28"/>
          <w:szCs w:val="24"/>
          <w:lang w:eastAsia="zh-CN"/>
        </w:rPr>
      </w:pPr>
      <w:r>
        <w:rPr>
          <w:rFonts w:hint="eastAsia" w:ascii="Arial" w:hAnsi="Arial" w:eastAsia="宋体"/>
          <w:b/>
          <w:color w:val="auto"/>
          <w:sz w:val="28"/>
          <w:szCs w:val="24"/>
          <w:lang w:eastAsia="zh-CN"/>
        </w:rPr>
        <w:t>Conclusion</w:t>
      </w:r>
    </w:p>
    <w:p>
      <w:pPr>
        <w:bidi w:val="0"/>
        <w:ind w:firstLine="0" w:firstLineChars="0"/>
        <w:rPr>
          <w:rFonts w:hint="eastAsia"/>
          <w:b w:val="0"/>
          <w:bCs w:val="0"/>
          <w:color w:val="auto"/>
          <w:sz w:val="20"/>
          <w:szCs w:val="20"/>
          <w:highlight w:val="none"/>
          <w:lang w:val="en-US" w:eastAsia="zh-CN"/>
        </w:rPr>
      </w:pPr>
      <w:bookmarkStart w:id="16" w:name="OLE_LINK1"/>
      <w:r>
        <w:rPr>
          <w:rFonts w:hint="eastAsia"/>
          <w:b w:val="0"/>
          <w:bCs w:val="0"/>
          <w:color w:val="auto"/>
          <w:sz w:val="20"/>
          <w:szCs w:val="20"/>
          <w:highlight w:val="none"/>
          <w:lang w:val="en-US" w:eastAsia="zh-CN"/>
        </w:rPr>
        <w:t xml:space="preserve">Our observations and proposal for radiated spurious emission MU with big size EUT are listed as below: </w:t>
      </w:r>
    </w:p>
    <w:p>
      <w:pPr>
        <w:keepNext w:val="0"/>
        <w:keepLines w:val="0"/>
        <w:pageBreakBefore w:val="0"/>
        <w:widowControl/>
        <w:kinsoku/>
        <w:wordWrap/>
        <w:overflowPunct/>
        <w:topLinePunct w:val="0"/>
        <w:autoSpaceDE/>
        <w:autoSpaceDN/>
        <w:bidi w:val="0"/>
        <w:adjustRightInd/>
        <w:snapToGrid/>
        <w:ind w:left="0" w:leftChars="0" w:firstLine="0" w:firstLineChars="0"/>
        <w:textAlignment w:val="auto"/>
        <w:rPr>
          <w:rFonts w:hint="eastAsia" w:eastAsia="宋体"/>
          <w:b w:val="0"/>
          <w:bCs w:val="0"/>
          <w:color w:val="auto"/>
          <w:sz w:val="20"/>
          <w:szCs w:val="20"/>
          <w:lang w:val="en-US" w:eastAsia="zh-CN"/>
        </w:rPr>
      </w:pPr>
      <w:r>
        <w:rPr>
          <w:rFonts w:hint="eastAsia" w:eastAsia="宋体"/>
          <w:b/>
          <w:bCs w:val="0"/>
          <w:iCs/>
          <w:color w:val="000000" w:themeColor="text1"/>
          <w:sz w:val="20"/>
          <w:szCs w:val="20"/>
          <w:highlight w:val="none"/>
          <w:lang w:val="en-US" w:eastAsia="zh-CN"/>
          <w14:textFill>
            <w14:solidFill>
              <w14:schemeClr w14:val="tx1"/>
            </w14:solidFill>
          </w14:textFill>
        </w:rPr>
        <w:t>Observation 1:</w:t>
      </w:r>
      <w:r>
        <w:rPr>
          <w:rFonts w:hint="eastAsia" w:eastAsia="宋体"/>
          <w:b w:val="0"/>
          <w:bCs w:val="0"/>
          <w:color w:val="auto"/>
          <w:sz w:val="20"/>
          <w:szCs w:val="20"/>
          <w:lang w:val="en-US" w:eastAsia="zh-CN"/>
        </w:rPr>
        <w:t xml:space="preserve"> To align with BS TS 38.104, the highest test frequency of radiated spurious emission for band n46 and n96 is 26GHz.</w:t>
      </w:r>
    </w:p>
    <w:p>
      <w:pPr>
        <w:bidi w:val="0"/>
        <w:rPr>
          <w:rFonts w:hint="eastAsia"/>
          <w:color w:val="auto"/>
          <w:sz w:val="20"/>
          <w:szCs w:val="20"/>
          <w:highlight w:val="none"/>
          <w:lang w:val="en-US" w:eastAsia="zh-CN"/>
        </w:rPr>
      </w:pPr>
      <w:r>
        <w:rPr>
          <w:rFonts w:hint="eastAsia" w:eastAsia="宋体"/>
          <w:b/>
          <w:bCs w:val="0"/>
          <w:i w:val="0"/>
          <w:iCs/>
          <w:color w:val="000000" w:themeColor="text1"/>
          <w:sz w:val="20"/>
          <w:szCs w:val="20"/>
          <w:highlight w:val="none"/>
          <w:lang w:val="en-US" w:eastAsia="zh-CN"/>
          <w14:textFill>
            <w14:solidFill>
              <w14:schemeClr w14:val="tx1"/>
            </w14:solidFill>
          </w14:textFill>
        </w:rPr>
        <w:t xml:space="preserve">Observation 2: </w:t>
      </w:r>
      <w:r>
        <w:rPr>
          <w:rFonts w:hint="eastAsia"/>
          <w:color w:val="auto"/>
          <w:sz w:val="20"/>
          <w:szCs w:val="20"/>
          <w:highlight w:val="none"/>
          <w:lang w:val="en-US" w:eastAsia="zh-CN"/>
        </w:rPr>
        <w:t>The MU values in terms of</w:t>
      </w:r>
      <w:r>
        <w:rPr>
          <w:rFonts w:hint="eastAsia"/>
          <w:sz w:val="20"/>
          <w:szCs w:val="20"/>
          <w:lang w:val="en-US" w:eastAsia="zh-CN"/>
        </w:rPr>
        <w:t xml:space="preserve"> the calculation model of ETSI</w:t>
      </w:r>
      <w:r>
        <w:rPr>
          <w:rFonts w:hint="eastAsia"/>
          <w:color w:val="auto"/>
          <w:sz w:val="20"/>
          <w:szCs w:val="20"/>
          <w:highlight w:val="none"/>
          <w:lang w:val="en-US" w:eastAsia="zh-CN"/>
        </w:rPr>
        <w:t xml:space="preserve"> TR 100 028-1 for radiated spurious emission with large than 2m big size EUT would be exceed 6dB.</w:t>
      </w:r>
    </w:p>
    <w:p>
      <w:pPr>
        <w:bidi w:val="0"/>
        <w:ind w:left="0" w:firstLine="0" w:firstLineChars="0"/>
        <w:rPr>
          <w:rFonts w:hint="default" w:cs="Times New Roman"/>
          <w:b w:val="0"/>
          <w:bCs w:val="0"/>
          <w:color w:val="auto"/>
          <w:sz w:val="20"/>
          <w:szCs w:val="20"/>
          <w:lang w:val="en-US" w:eastAsia="zh-CN"/>
        </w:rPr>
      </w:pPr>
      <w:r>
        <w:rPr>
          <w:rFonts w:hint="eastAsia" w:eastAsia="宋体"/>
          <w:b/>
          <w:bCs w:val="0"/>
          <w:i w:val="0"/>
          <w:iCs/>
          <w:color w:val="000000" w:themeColor="text1"/>
          <w:sz w:val="20"/>
          <w:szCs w:val="20"/>
          <w:highlight w:val="none"/>
          <w:lang w:val="en-US" w:eastAsia="zh-CN"/>
          <w14:textFill>
            <w14:solidFill>
              <w14:schemeClr w14:val="tx1"/>
            </w14:solidFill>
          </w14:textFill>
        </w:rPr>
        <w:t xml:space="preserve">Proposal 1: </w:t>
      </w:r>
      <w:bookmarkEnd w:id="16"/>
      <w:r>
        <w:rPr>
          <w:rFonts w:hint="eastAsia"/>
          <w:color w:val="auto"/>
          <w:sz w:val="20"/>
          <w:szCs w:val="20"/>
          <w:highlight w:val="none"/>
          <w:lang w:val="en-US" w:eastAsia="zh-CN"/>
        </w:rPr>
        <w:t>It is recommended that the maximum MU value between 12,75 GHz and 26 GHz with EUT size greater than 1m in BS EMC specification should be 9dB</w:t>
      </w:r>
      <w:r>
        <w:rPr>
          <w:rFonts w:hint="eastAsia" w:eastAsia="宋体"/>
          <w:color w:val="auto"/>
          <w:sz w:val="20"/>
          <w:szCs w:val="20"/>
          <w:lang w:val="en-US" w:eastAsia="zh-CN"/>
        </w:rPr>
        <w:t>.</w:t>
      </w:r>
    </w:p>
    <w:p>
      <w:pPr>
        <w:pStyle w:val="2"/>
        <w:numPr>
          <w:ilvl w:val="0"/>
          <w:numId w:val="11"/>
        </w:numPr>
        <w:rPr>
          <w:rFonts w:hint="eastAsia" w:eastAsia="宋体"/>
          <w:b/>
          <w:color w:val="auto"/>
          <w:sz w:val="28"/>
          <w:szCs w:val="24"/>
          <w:highlight w:val="none"/>
          <w:lang w:eastAsia="zh-CN"/>
        </w:rPr>
      </w:pPr>
      <w:r>
        <w:rPr>
          <w:rFonts w:hint="eastAsia" w:eastAsia="宋体"/>
          <w:b/>
          <w:color w:val="auto"/>
          <w:sz w:val="28"/>
          <w:szCs w:val="24"/>
          <w:highlight w:val="none"/>
          <w:lang w:eastAsia="zh-CN"/>
        </w:rPr>
        <w:t>Reference</w:t>
      </w:r>
    </w:p>
    <w:bookmarkEnd w:id="8"/>
    <w:p>
      <w:pPr>
        <w:numPr>
          <w:ilvl w:val="0"/>
          <w:numId w:val="13"/>
        </w:numPr>
        <w:rPr>
          <w:rFonts w:hint="default" w:ascii="Times New Roman" w:hAnsi="Times New Roman" w:cs="Times New Roman"/>
          <w:color w:val="auto"/>
          <w:sz w:val="20"/>
          <w:szCs w:val="20"/>
          <w:lang w:val="en-US" w:eastAsia="zh-CN"/>
        </w:rPr>
      </w:pPr>
      <w:r>
        <w:rPr>
          <w:rFonts w:hint="eastAsia" w:ascii="Times New Roman" w:hAnsi="Times New Roman" w:cs="Times New Roman"/>
          <w:color w:val="auto"/>
          <w:sz w:val="20"/>
          <w:szCs w:val="20"/>
          <w:lang w:val="en-US" w:eastAsia="zh-CN"/>
        </w:rPr>
        <w:t>R4-2207188</w:t>
      </w:r>
      <w:r>
        <w:rPr>
          <w:rFonts w:hint="eastAsia" w:cs="Times New Roman"/>
          <w:color w:val="auto"/>
          <w:sz w:val="20"/>
          <w:szCs w:val="20"/>
          <w:lang w:val="en-US" w:eastAsia="zh-CN"/>
        </w:rPr>
        <w:t xml:space="preserve">, </w:t>
      </w:r>
      <w:r>
        <w:rPr>
          <w:rFonts w:hint="eastAsia" w:ascii="Times New Roman" w:hAnsi="Times New Roman" w:cs="Times New Roman"/>
          <w:color w:val="auto"/>
          <w:sz w:val="20"/>
          <w:szCs w:val="20"/>
          <w:lang w:val="en-US" w:eastAsia="zh-CN"/>
        </w:rPr>
        <w:t>WF on MU value for the radiated emission measurements</w:t>
      </w:r>
      <w:r>
        <w:rPr>
          <w:rFonts w:hint="eastAsia" w:cs="Times New Roman"/>
          <w:color w:val="auto"/>
          <w:sz w:val="20"/>
          <w:szCs w:val="20"/>
          <w:lang w:val="en-US" w:eastAsia="zh-CN"/>
        </w:rPr>
        <w:t>, ZTE</w:t>
      </w:r>
    </w:p>
    <w:p>
      <w:pPr>
        <w:numPr>
          <w:ilvl w:val="0"/>
          <w:numId w:val="13"/>
        </w:numPr>
        <w:rPr>
          <w:rFonts w:hint="default" w:ascii="Times New Roman" w:hAnsi="Times New Roman" w:cs="Times New Roman"/>
          <w:color w:val="auto"/>
          <w:sz w:val="20"/>
          <w:szCs w:val="20"/>
          <w:lang w:val="en-US" w:eastAsia="zh-CN"/>
        </w:rPr>
      </w:pPr>
      <w:r>
        <w:rPr>
          <w:rFonts w:hint="eastAsia" w:ascii="Times New Roman" w:hAnsi="Times New Roman" w:cs="Times New Roman"/>
          <w:color w:val="auto"/>
          <w:sz w:val="20"/>
          <w:szCs w:val="20"/>
          <w:lang w:val="en-US" w:eastAsia="sv-SE"/>
        </w:rPr>
        <w:t>R4-2204429 [NR EMC] Further discussion on highest frequency and measurement uncertainty for NR BS radiated emission test, ZTE</w:t>
      </w:r>
    </w:p>
    <w:p>
      <w:pPr>
        <w:numPr>
          <w:ilvl w:val="0"/>
          <w:numId w:val="13"/>
        </w:numPr>
        <w:rPr>
          <w:rFonts w:hint="default" w:ascii="Times New Roman" w:hAnsi="Times New Roman" w:cs="Times New Roman"/>
          <w:color w:val="auto"/>
          <w:sz w:val="20"/>
          <w:szCs w:val="20"/>
          <w:lang w:val="en-US" w:eastAsia="zh-CN"/>
        </w:rPr>
      </w:pPr>
      <w:r>
        <w:rPr>
          <w:rFonts w:hint="eastAsia"/>
          <w:color w:val="auto"/>
          <w:sz w:val="20"/>
          <w:lang w:val="en-US" w:eastAsia="zh-CN"/>
        </w:rPr>
        <w:t>3GPP TS 38.104</w:t>
      </w:r>
      <w:r>
        <w:rPr>
          <w:rFonts w:hint="eastAsia"/>
          <w:color w:val="auto"/>
          <w:sz w:val="20"/>
          <w:szCs w:val="20"/>
          <w:lang w:val="en-US" w:eastAsia="zh-CN"/>
        </w:rPr>
        <w:t>: "NR; Base Station (BS) radio transmission and reception".</w:t>
      </w:r>
    </w:p>
    <w:p>
      <w:pPr>
        <w:numPr>
          <w:ilvl w:val="0"/>
          <w:numId w:val="13"/>
        </w:numPr>
        <w:rPr>
          <w:rFonts w:hint="default" w:ascii="Times New Roman" w:hAnsi="Times New Roman"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CISPR 16-4-2:</w:t>
      </w:r>
      <w:r>
        <w:rPr>
          <w:rFonts w:hint="eastAsia" w:eastAsia="宋体" w:cs="Times New Roman"/>
          <w:color w:val="auto"/>
          <w:sz w:val="20"/>
          <w:szCs w:val="20"/>
          <w:lang w:val="en-US" w:eastAsia="zh-CN"/>
        </w:rPr>
        <w:t xml:space="preserve"> </w:t>
      </w:r>
      <w:r>
        <w:rPr>
          <w:rFonts w:hint="default" w:ascii="Times New Roman" w:hAnsi="Times New Roman" w:eastAsia="宋体" w:cs="Times New Roman"/>
          <w:color w:val="auto"/>
          <w:sz w:val="20"/>
          <w:szCs w:val="20"/>
          <w:lang w:val="en-US" w:eastAsia="zh-CN"/>
        </w:rPr>
        <w:t>2011+AMD1:</w:t>
      </w:r>
      <w:r>
        <w:rPr>
          <w:rFonts w:hint="eastAsia" w:eastAsia="宋体" w:cs="Times New Roman"/>
          <w:color w:val="auto"/>
          <w:sz w:val="20"/>
          <w:szCs w:val="20"/>
          <w:lang w:val="en-US" w:eastAsia="zh-CN"/>
        </w:rPr>
        <w:t xml:space="preserve"> </w:t>
      </w:r>
      <w:r>
        <w:rPr>
          <w:rFonts w:hint="default" w:ascii="Times New Roman" w:hAnsi="Times New Roman" w:eastAsia="宋体" w:cs="Times New Roman"/>
          <w:color w:val="auto"/>
          <w:sz w:val="20"/>
          <w:szCs w:val="20"/>
          <w:lang w:val="en-US" w:eastAsia="zh-CN"/>
        </w:rPr>
        <w:t>2014+AMD2:</w:t>
      </w:r>
      <w:r>
        <w:rPr>
          <w:rFonts w:hint="eastAsia" w:eastAsia="宋体" w:cs="Times New Roman"/>
          <w:color w:val="auto"/>
          <w:sz w:val="20"/>
          <w:szCs w:val="20"/>
          <w:lang w:val="en-US" w:eastAsia="zh-CN"/>
        </w:rPr>
        <w:t xml:space="preserve"> </w:t>
      </w:r>
      <w:r>
        <w:rPr>
          <w:rFonts w:hint="default" w:ascii="Times New Roman" w:hAnsi="Times New Roman" w:eastAsia="宋体" w:cs="Times New Roman"/>
          <w:color w:val="auto"/>
          <w:sz w:val="20"/>
          <w:szCs w:val="20"/>
          <w:lang w:val="en-US" w:eastAsia="zh-CN"/>
        </w:rPr>
        <w:t>2018</w:t>
      </w:r>
      <w:r>
        <w:rPr>
          <w:rFonts w:hint="eastAsia" w:ascii="Times New Roman" w:hAnsi="Times New Roman" w:eastAsia="宋体" w:cs="Times New Roman"/>
          <w:color w:val="auto"/>
          <w:sz w:val="20"/>
          <w:szCs w:val="20"/>
          <w:lang w:val="en-US" w:eastAsia="zh-CN"/>
        </w:rPr>
        <w:t>,</w:t>
      </w:r>
      <w:r>
        <w:rPr>
          <w:rFonts w:hint="eastAsia" w:eastAsia="宋体" w:cs="Times New Roman"/>
          <w:color w:val="auto"/>
          <w:sz w:val="20"/>
          <w:szCs w:val="20"/>
          <w:lang w:val="en-US" w:eastAsia="zh-CN"/>
        </w:rPr>
        <w:t xml:space="preserve"> Specification for radio disturbance and immunity measuring apparatus and methods - Part 4-2: Uncertainties, statistics and limit modelling - Measurement instrumentation uncertainty</w:t>
      </w:r>
    </w:p>
    <w:p>
      <w:pPr>
        <w:numPr>
          <w:ilvl w:val="0"/>
          <w:numId w:val="13"/>
        </w:numPr>
        <w:rPr>
          <w:rFonts w:hint="default" w:ascii="Times New Roman" w:hAnsi="Times New Roman"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ETSI TR 100 028-1 V1.4.1 (2001-12)</w:t>
      </w:r>
      <w:r>
        <w:rPr>
          <w:rFonts w:hint="eastAsia" w:eastAsia="宋体" w:cs="Times New Roman"/>
          <w:color w:val="auto"/>
          <w:sz w:val="20"/>
          <w:szCs w:val="20"/>
          <w:lang w:val="en-US" w:eastAsia="zh-CN"/>
        </w:rPr>
        <w:t>: Electromagnetic compatibility and Radio spectrum Matters (ERM); Uncertainties in the measurement of mobile radio equipment characteristics; Part 1</w:t>
      </w:r>
    </w:p>
    <w:p>
      <w:pPr>
        <w:numPr>
          <w:ilvl w:val="0"/>
          <w:numId w:val="13"/>
        </w:numPr>
        <w:rPr>
          <w:rFonts w:hint="eastAsia" w:ascii="Times New Roman" w:hAnsi="Times New Roman" w:cs="Times New Roman"/>
          <w:color w:val="auto"/>
          <w:sz w:val="20"/>
          <w:szCs w:val="20"/>
          <w:lang w:val="en-US" w:eastAsia="zh-CN"/>
        </w:rPr>
      </w:pPr>
      <w:r>
        <w:rPr>
          <w:rFonts w:hint="eastAsia" w:ascii="Times New Roman" w:hAnsi="Times New Roman" w:cs="Times New Roman"/>
          <w:color w:val="auto"/>
          <w:sz w:val="20"/>
          <w:szCs w:val="20"/>
          <w:lang w:val="en-US" w:eastAsia="zh-CN"/>
        </w:rPr>
        <w:t>ETSI TR 102 27</w:t>
      </w:r>
      <w:r>
        <w:rPr>
          <w:rFonts w:hint="eastAsia" w:cs="Times New Roman"/>
          <w:b w:val="0"/>
          <w:bCs w:val="0"/>
          <w:color w:val="auto"/>
          <w:sz w:val="20"/>
          <w:szCs w:val="20"/>
          <w:lang w:val="en-US" w:eastAsia="zh-CN"/>
        </w:rPr>
        <w:t>3-1-2 V1.2.1 (200</w:t>
      </w:r>
      <w:r>
        <w:rPr>
          <w:rFonts w:hint="eastAsia" w:ascii="Times New Roman" w:hAnsi="Times New Roman" w:cs="Times New Roman"/>
          <w:color w:val="auto"/>
          <w:sz w:val="20"/>
          <w:szCs w:val="20"/>
          <w:lang w:val="en-US" w:eastAsia="zh-CN"/>
        </w:rPr>
        <w:t>1-12)</w:t>
      </w:r>
      <w:r>
        <w:rPr>
          <w:rFonts w:hint="eastAsia" w:cs="Times New Roman"/>
          <w:color w:val="auto"/>
          <w:sz w:val="20"/>
          <w:szCs w:val="20"/>
          <w:lang w:val="en-US" w:eastAsia="zh-CN"/>
        </w:rPr>
        <w:t>: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sectPr>
      <w:footerReference r:id="rId3"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Yu Mincho">
    <w:altName w:val="MS Gothic"/>
    <w:panose1 w:val="02020400000000000000"/>
    <w:charset w:val="80"/>
    <w:family w:val="roman"/>
    <w:pitch w:val="default"/>
    <w:sig w:usb0="00000000" w:usb1="00000000" w:usb2="00000012" w:usb3="00000000" w:csb0="0002009F" w:csb1="0000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MS LineDraw">
    <w:altName w:val="Courier New"/>
    <w:panose1 w:val="00000000000000000000"/>
    <w:charset w:val="02"/>
    <w:family w:val="modern"/>
    <w:pitch w:val="default"/>
    <w:sig w:usb0="00000000" w:usb1="00000000" w:usb2="00000000"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00006FF" w:usb1="4000205B" w:usb2="00000010" w:usb3="00000000" w:csb0="2000019F"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auto"/>
    <w:pitch w:val="default"/>
    <w:sig w:usb0="E0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2</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3">
    <w:nsid w:val="01AD2846"/>
    <w:multiLevelType w:val="singleLevel"/>
    <w:tmpl w:val="01AD2846"/>
    <w:lvl w:ilvl="0" w:tentative="0">
      <w:start w:val="1"/>
      <w:numFmt w:val="decimal"/>
      <w:suff w:val="space"/>
      <w:lvlText w:val="[%1]"/>
      <w:lvlJc w:val="left"/>
    </w:lvl>
  </w:abstractNum>
  <w:abstractNum w:abstractNumId="4">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5">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46F84F30"/>
    <w:multiLevelType w:val="multilevel"/>
    <w:tmpl w:val="46F84F30"/>
    <w:lvl w:ilvl="0" w:tentative="0">
      <w:start w:val="1"/>
      <w:numFmt w:val="decimal"/>
      <w:pStyle w:val="138"/>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7">
    <w:nsid w:val="576C0327"/>
    <w:multiLevelType w:val="multilevel"/>
    <w:tmpl w:val="576C0327"/>
    <w:lvl w:ilvl="0" w:tentative="0">
      <w:start w:val="1"/>
      <w:numFmt w:val="decimal"/>
      <w:pStyle w:val="188"/>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90A2027"/>
    <w:multiLevelType w:val="multilevel"/>
    <w:tmpl w:val="590A202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73E56F14"/>
    <w:multiLevelType w:val="multilevel"/>
    <w:tmpl w:val="73E56F14"/>
    <w:lvl w:ilvl="0" w:tentative="0">
      <w:start w:val="1"/>
      <w:numFmt w:val="decimal"/>
      <w:pStyle w:val="144"/>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7BC330F5"/>
    <w:multiLevelType w:val="multilevel"/>
    <w:tmpl w:val="7BC330F5"/>
    <w:lvl w:ilvl="0" w:tentative="0">
      <w:start w:val="1"/>
      <w:numFmt w:val="bullet"/>
      <w:pStyle w:val="17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F547DFD"/>
    <w:multiLevelType w:val="singleLevel"/>
    <w:tmpl w:val="7F547DFD"/>
    <w:lvl w:ilvl="0" w:tentative="0">
      <w:start w:val="1"/>
      <w:numFmt w:val="bullet"/>
      <w:pStyle w:val="150"/>
      <w:lvlText w:val=""/>
      <w:lvlJc w:val="left"/>
      <w:pPr>
        <w:tabs>
          <w:tab w:val="left" w:pos="1418"/>
        </w:tabs>
        <w:ind w:left="1418" w:hanging="426"/>
      </w:pPr>
      <w:rPr>
        <w:rFonts w:hint="default" w:ascii="Wingdings" w:hAnsi="Wingdings"/>
      </w:rPr>
    </w:lvl>
  </w:abstractNum>
  <w:num w:numId="1">
    <w:abstractNumId w:val="9"/>
  </w:num>
  <w:num w:numId="2">
    <w:abstractNumId w:val="4"/>
  </w:num>
  <w:num w:numId="3">
    <w:abstractNumId w:val="2"/>
  </w:num>
  <w:num w:numId="4">
    <w:abstractNumId w:val="1"/>
  </w:num>
  <w:num w:numId="5">
    <w:abstractNumId w:val="0"/>
  </w:num>
  <w:num w:numId="6">
    <w:abstractNumId w:val="6"/>
  </w:num>
  <w:num w:numId="7">
    <w:abstractNumId w:val="10"/>
  </w:num>
  <w:num w:numId="8">
    <w:abstractNumId w:val="12"/>
  </w:num>
  <w:num w:numId="9">
    <w:abstractNumId w:val="11"/>
  </w:num>
  <w:num w:numId="10">
    <w:abstractNumId w:val="7"/>
  </w:num>
  <w:num w:numId="11">
    <w:abstractNumId w:val="5"/>
  </w:num>
  <w:num w:numId="12">
    <w:abstractNumId w:val="8"/>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5E3"/>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4F3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6A1D"/>
    <w:rsid w:val="007C77F2"/>
    <w:rsid w:val="007D003B"/>
    <w:rsid w:val="007D021B"/>
    <w:rsid w:val="007D0BFB"/>
    <w:rsid w:val="007D0DFC"/>
    <w:rsid w:val="007D10A2"/>
    <w:rsid w:val="007D12D6"/>
    <w:rsid w:val="007D1979"/>
    <w:rsid w:val="007D1B46"/>
    <w:rsid w:val="007D1C5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7C2"/>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5E2"/>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2D3EB2"/>
    <w:rsid w:val="013E5C47"/>
    <w:rsid w:val="014C3CC4"/>
    <w:rsid w:val="014D51D2"/>
    <w:rsid w:val="016B6B22"/>
    <w:rsid w:val="01885236"/>
    <w:rsid w:val="018C59FB"/>
    <w:rsid w:val="019C3B9A"/>
    <w:rsid w:val="01CC77C8"/>
    <w:rsid w:val="01D36C5D"/>
    <w:rsid w:val="01F330D1"/>
    <w:rsid w:val="020172B6"/>
    <w:rsid w:val="0222694D"/>
    <w:rsid w:val="02274170"/>
    <w:rsid w:val="02465A49"/>
    <w:rsid w:val="025746B9"/>
    <w:rsid w:val="025E490B"/>
    <w:rsid w:val="02A433D2"/>
    <w:rsid w:val="02AF1E84"/>
    <w:rsid w:val="02B1452C"/>
    <w:rsid w:val="02B1756B"/>
    <w:rsid w:val="02C83673"/>
    <w:rsid w:val="02DA193A"/>
    <w:rsid w:val="03025A44"/>
    <w:rsid w:val="03154FEA"/>
    <w:rsid w:val="031E0246"/>
    <w:rsid w:val="03353DE1"/>
    <w:rsid w:val="03396ABE"/>
    <w:rsid w:val="034A3B7F"/>
    <w:rsid w:val="034E5CB1"/>
    <w:rsid w:val="0397623F"/>
    <w:rsid w:val="039C165A"/>
    <w:rsid w:val="03B25159"/>
    <w:rsid w:val="03B434C5"/>
    <w:rsid w:val="03D463D3"/>
    <w:rsid w:val="03D96257"/>
    <w:rsid w:val="041419C6"/>
    <w:rsid w:val="041C7390"/>
    <w:rsid w:val="04523CE4"/>
    <w:rsid w:val="045862CA"/>
    <w:rsid w:val="047A2EAB"/>
    <w:rsid w:val="048C53A5"/>
    <w:rsid w:val="049B760B"/>
    <w:rsid w:val="04BC3811"/>
    <w:rsid w:val="04D60E7B"/>
    <w:rsid w:val="04E75F8D"/>
    <w:rsid w:val="04EE7DD5"/>
    <w:rsid w:val="04F5217B"/>
    <w:rsid w:val="04FC6E08"/>
    <w:rsid w:val="04FD3D9C"/>
    <w:rsid w:val="051762D5"/>
    <w:rsid w:val="0528285F"/>
    <w:rsid w:val="0535306B"/>
    <w:rsid w:val="053B103A"/>
    <w:rsid w:val="053F1BC2"/>
    <w:rsid w:val="055D4C1C"/>
    <w:rsid w:val="058900C1"/>
    <w:rsid w:val="058B2CB5"/>
    <w:rsid w:val="058F48A1"/>
    <w:rsid w:val="05A612A4"/>
    <w:rsid w:val="05B44A3A"/>
    <w:rsid w:val="05CD6034"/>
    <w:rsid w:val="06011110"/>
    <w:rsid w:val="063E0281"/>
    <w:rsid w:val="066602B0"/>
    <w:rsid w:val="06735105"/>
    <w:rsid w:val="06757493"/>
    <w:rsid w:val="06A74C45"/>
    <w:rsid w:val="06C41AD0"/>
    <w:rsid w:val="06DD6885"/>
    <w:rsid w:val="070B2DDE"/>
    <w:rsid w:val="073573B3"/>
    <w:rsid w:val="0756674F"/>
    <w:rsid w:val="07615B70"/>
    <w:rsid w:val="07800437"/>
    <w:rsid w:val="07921DC8"/>
    <w:rsid w:val="07B555C6"/>
    <w:rsid w:val="07BC60B3"/>
    <w:rsid w:val="07EC78AA"/>
    <w:rsid w:val="07FE7B91"/>
    <w:rsid w:val="08031E49"/>
    <w:rsid w:val="080B51F8"/>
    <w:rsid w:val="08112D2A"/>
    <w:rsid w:val="08370E94"/>
    <w:rsid w:val="084F4159"/>
    <w:rsid w:val="085419B8"/>
    <w:rsid w:val="08772792"/>
    <w:rsid w:val="08835183"/>
    <w:rsid w:val="08A33D89"/>
    <w:rsid w:val="093B6948"/>
    <w:rsid w:val="093E77B7"/>
    <w:rsid w:val="094D4E05"/>
    <w:rsid w:val="095501D1"/>
    <w:rsid w:val="095B7916"/>
    <w:rsid w:val="097E5DCA"/>
    <w:rsid w:val="099820E0"/>
    <w:rsid w:val="099F43C4"/>
    <w:rsid w:val="09B05717"/>
    <w:rsid w:val="09BF2F18"/>
    <w:rsid w:val="09EF3588"/>
    <w:rsid w:val="0A2C400A"/>
    <w:rsid w:val="0A351CFA"/>
    <w:rsid w:val="0A473D18"/>
    <w:rsid w:val="0A594152"/>
    <w:rsid w:val="0A5A0B93"/>
    <w:rsid w:val="0AA00229"/>
    <w:rsid w:val="0AA03887"/>
    <w:rsid w:val="0AA219F9"/>
    <w:rsid w:val="0AAE5C7D"/>
    <w:rsid w:val="0AB30A1E"/>
    <w:rsid w:val="0ADA1745"/>
    <w:rsid w:val="0AF82D2F"/>
    <w:rsid w:val="0AFD57EC"/>
    <w:rsid w:val="0B1038D0"/>
    <w:rsid w:val="0B362DB4"/>
    <w:rsid w:val="0B9556D2"/>
    <w:rsid w:val="0B98464D"/>
    <w:rsid w:val="0B995BF6"/>
    <w:rsid w:val="0B9F4AFA"/>
    <w:rsid w:val="0BA227C1"/>
    <w:rsid w:val="0BAE6E09"/>
    <w:rsid w:val="0BB5088E"/>
    <w:rsid w:val="0BC64F1A"/>
    <w:rsid w:val="0BCB5E5C"/>
    <w:rsid w:val="0BD001E5"/>
    <w:rsid w:val="0C227075"/>
    <w:rsid w:val="0C4026C7"/>
    <w:rsid w:val="0C420C93"/>
    <w:rsid w:val="0C4F43EF"/>
    <w:rsid w:val="0C5B0E64"/>
    <w:rsid w:val="0C707397"/>
    <w:rsid w:val="0CAA7DAA"/>
    <w:rsid w:val="0CAC1A2E"/>
    <w:rsid w:val="0CB235F8"/>
    <w:rsid w:val="0CBA1B7C"/>
    <w:rsid w:val="0CD034B7"/>
    <w:rsid w:val="0CE71A3D"/>
    <w:rsid w:val="0CF15BB9"/>
    <w:rsid w:val="0D0E03B3"/>
    <w:rsid w:val="0D28062D"/>
    <w:rsid w:val="0D464799"/>
    <w:rsid w:val="0D5B6307"/>
    <w:rsid w:val="0D932ABC"/>
    <w:rsid w:val="0DB52144"/>
    <w:rsid w:val="0DC075D8"/>
    <w:rsid w:val="0DDD16AB"/>
    <w:rsid w:val="0DEC1FAE"/>
    <w:rsid w:val="0E245631"/>
    <w:rsid w:val="0E2A2E5E"/>
    <w:rsid w:val="0E4B2720"/>
    <w:rsid w:val="0E614B6D"/>
    <w:rsid w:val="0E6C5826"/>
    <w:rsid w:val="0E742D2B"/>
    <w:rsid w:val="0E8E1FE9"/>
    <w:rsid w:val="0E9F06E1"/>
    <w:rsid w:val="0EA31998"/>
    <w:rsid w:val="0EE64C7B"/>
    <w:rsid w:val="0EF861E8"/>
    <w:rsid w:val="0EF975F9"/>
    <w:rsid w:val="0F2002F6"/>
    <w:rsid w:val="0F24342D"/>
    <w:rsid w:val="0F396589"/>
    <w:rsid w:val="0F6627AB"/>
    <w:rsid w:val="0F6709CB"/>
    <w:rsid w:val="0F7920A6"/>
    <w:rsid w:val="0F8C18A3"/>
    <w:rsid w:val="0F935827"/>
    <w:rsid w:val="0FA336D9"/>
    <w:rsid w:val="0FD16E16"/>
    <w:rsid w:val="0FF300CA"/>
    <w:rsid w:val="10035232"/>
    <w:rsid w:val="10154FBC"/>
    <w:rsid w:val="103C30D1"/>
    <w:rsid w:val="105821AB"/>
    <w:rsid w:val="10627389"/>
    <w:rsid w:val="1084100D"/>
    <w:rsid w:val="10910C35"/>
    <w:rsid w:val="10AB2EF5"/>
    <w:rsid w:val="10D92C89"/>
    <w:rsid w:val="10DC3D04"/>
    <w:rsid w:val="10E8572B"/>
    <w:rsid w:val="10F541D3"/>
    <w:rsid w:val="11217AFA"/>
    <w:rsid w:val="114505E0"/>
    <w:rsid w:val="11535686"/>
    <w:rsid w:val="116C31FF"/>
    <w:rsid w:val="117B5D58"/>
    <w:rsid w:val="1183717D"/>
    <w:rsid w:val="11A44CE5"/>
    <w:rsid w:val="11A7718A"/>
    <w:rsid w:val="11A93B86"/>
    <w:rsid w:val="11AD61DB"/>
    <w:rsid w:val="11CE6E18"/>
    <w:rsid w:val="11DE1DBC"/>
    <w:rsid w:val="12013927"/>
    <w:rsid w:val="12026C68"/>
    <w:rsid w:val="122C66D4"/>
    <w:rsid w:val="12471E32"/>
    <w:rsid w:val="12485895"/>
    <w:rsid w:val="124A1819"/>
    <w:rsid w:val="124D773B"/>
    <w:rsid w:val="126167F9"/>
    <w:rsid w:val="126B0899"/>
    <w:rsid w:val="128E1AEE"/>
    <w:rsid w:val="128E3FEF"/>
    <w:rsid w:val="12925C25"/>
    <w:rsid w:val="12AF264A"/>
    <w:rsid w:val="12BC501F"/>
    <w:rsid w:val="12C1294C"/>
    <w:rsid w:val="12DB15AA"/>
    <w:rsid w:val="13131FEF"/>
    <w:rsid w:val="131B35FD"/>
    <w:rsid w:val="133763C2"/>
    <w:rsid w:val="133B1420"/>
    <w:rsid w:val="13413F55"/>
    <w:rsid w:val="134514D1"/>
    <w:rsid w:val="135717FB"/>
    <w:rsid w:val="1378592D"/>
    <w:rsid w:val="13855BC1"/>
    <w:rsid w:val="138761D5"/>
    <w:rsid w:val="13972075"/>
    <w:rsid w:val="13A252DC"/>
    <w:rsid w:val="13BD06AD"/>
    <w:rsid w:val="13BE76B6"/>
    <w:rsid w:val="13C73401"/>
    <w:rsid w:val="13E61845"/>
    <w:rsid w:val="13F625A1"/>
    <w:rsid w:val="14031E43"/>
    <w:rsid w:val="14052EE5"/>
    <w:rsid w:val="140C716C"/>
    <w:rsid w:val="141223CC"/>
    <w:rsid w:val="14137036"/>
    <w:rsid w:val="1434158C"/>
    <w:rsid w:val="143524DC"/>
    <w:rsid w:val="143E4F03"/>
    <w:rsid w:val="145469D2"/>
    <w:rsid w:val="14A07DB7"/>
    <w:rsid w:val="14A46D71"/>
    <w:rsid w:val="14A73036"/>
    <w:rsid w:val="14D90446"/>
    <w:rsid w:val="14DE041D"/>
    <w:rsid w:val="14E2002C"/>
    <w:rsid w:val="14EE3E38"/>
    <w:rsid w:val="15181488"/>
    <w:rsid w:val="153450BB"/>
    <w:rsid w:val="154B6600"/>
    <w:rsid w:val="15615AC6"/>
    <w:rsid w:val="15622587"/>
    <w:rsid w:val="15850910"/>
    <w:rsid w:val="158D1AA1"/>
    <w:rsid w:val="159464B8"/>
    <w:rsid w:val="15AE3DF3"/>
    <w:rsid w:val="15B73650"/>
    <w:rsid w:val="15DE5680"/>
    <w:rsid w:val="15F700B5"/>
    <w:rsid w:val="15FB3901"/>
    <w:rsid w:val="15FC0384"/>
    <w:rsid w:val="1600072A"/>
    <w:rsid w:val="160306F7"/>
    <w:rsid w:val="16464904"/>
    <w:rsid w:val="16605EE4"/>
    <w:rsid w:val="166D1342"/>
    <w:rsid w:val="16777A5E"/>
    <w:rsid w:val="168D55EB"/>
    <w:rsid w:val="16901A13"/>
    <w:rsid w:val="16A03ED1"/>
    <w:rsid w:val="16C86978"/>
    <w:rsid w:val="16FA1B8D"/>
    <w:rsid w:val="17115C81"/>
    <w:rsid w:val="174F4612"/>
    <w:rsid w:val="177237EC"/>
    <w:rsid w:val="177F79AB"/>
    <w:rsid w:val="178A30B7"/>
    <w:rsid w:val="178F1BEE"/>
    <w:rsid w:val="1798381E"/>
    <w:rsid w:val="17A3595A"/>
    <w:rsid w:val="18257823"/>
    <w:rsid w:val="183750C3"/>
    <w:rsid w:val="183A07A8"/>
    <w:rsid w:val="1857551B"/>
    <w:rsid w:val="187B73E2"/>
    <w:rsid w:val="188A1C24"/>
    <w:rsid w:val="18B04964"/>
    <w:rsid w:val="18D66C1A"/>
    <w:rsid w:val="18E113C2"/>
    <w:rsid w:val="18EB589B"/>
    <w:rsid w:val="19212389"/>
    <w:rsid w:val="19382C14"/>
    <w:rsid w:val="19633794"/>
    <w:rsid w:val="19760F42"/>
    <w:rsid w:val="197D793E"/>
    <w:rsid w:val="19A83D0B"/>
    <w:rsid w:val="19BF12F9"/>
    <w:rsid w:val="19BF22DB"/>
    <w:rsid w:val="19CC576B"/>
    <w:rsid w:val="19D225E8"/>
    <w:rsid w:val="19F2171B"/>
    <w:rsid w:val="1A0126D6"/>
    <w:rsid w:val="1A0A6845"/>
    <w:rsid w:val="1A127AB9"/>
    <w:rsid w:val="1A1358FD"/>
    <w:rsid w:val="1A17092A"/>
    <w:rsid w:val="1A5449AB"/>
    <w:rsid w:val="1A5837B6"/>
    <w:rsid w:val="1A771559"/>
    <w:rsid w:val="1A8868E7"/>
    <w:rsid w:val="1A931C51"/>
    <w:rsid w:val="1A93399B"/>
    <w:rsid w:val="1A957650"/>
    <w:rsid w:val="1A9D6108"/>
    <w:rsid w:val="1AA37E94"/>
    <w:rsid w:val="1AB41550"/>
    <w:rsid w:val="1AB72EAB"/>
    <w:rsid w:val="1ACE1E6B"/>
    <w:rsid w:val="1AD420C5"/>
    <w:rsid w:val="1AED09AE"/>
    <w:rsid w:val="1AF35C40"/>
    <w:rsid w:val="1B017794"/>
    <w:rsid w:val="1B425A20"/>
    <w:rsid w:val="1B431600"/>
    <w:rsid w:val="1B540CF7"/>
    <w:rsid w:val="1B65312A"/>
    <w:rsid w:val="1B770010"/>
    <w:rsid w:val="1B77206A"/>
    <w:rsid w:val="1B782BCC"/>
    <w:rsid w:val="1B87436D"/>
    <w:rsid w:val="1B8B45C7"/>
    <w:rsid w:val="1B8D65BC"/>
    <w:rsid w:val="1B955FAC"/>
    <w:rsid w:val="1B9D0455"/>
    <w:rsid w:val="1BAA351E"/>
    <w:rsid w:val="1BD00420"/>
    <w:rsid w:val="1C0C49AC"/>
    <w:rsid w:val="1C2F5F7E"/>
    <w:rsid w:val="1C377126"/>
    <w:rsid w:val="1C477B03"/>
    <w:rsid w:val="1C6B0A33"/>
    <w:rsid w:val="1C6D61C2"/>
    <w:rsid w:val="1C944BDB"/>
    <w:rsid w:val="1CB5044D"/>
    <w:rsid w:val="1CBB1160"/>
    <w:rsid w:val="1CBF7C5A"/>
    <w:rsid w:val="1CDE0938"/>
    <w:rsid w:val="1CEB3EC8"/>
    <w:rsid w:val="1CFD64E3"/>
    <w:rsid w:val="1D0811DB"/>
    <w:rsid w:val="1D182D64"/>
    <w:rsid w:val="1D296C1D"/>
    <w:rsid w:val="1D307A08"/>
    <w:rsid w:val="1D330BC8"/>
    <w:rsid w:val="1D403120"/>
    <w:rsid w:val="1D482C64"/>
    <w:rsid w:val="1D4907BA"/>
    <w:rsid w:val="1D7242BA"/>
    <w:rsid w:val="1DD641BD"/>
    <w:rsid w:val="1DE0656D"/>
    <w:rsid w:val="1E07086F"/>
    <w:rsid w:val="1E0B3E78"/>
    <w:rsid w:val="1E1A68A6"/>
    <w:rsid w:val="1E59112A"/>
    <w:rsid w:val="1E5B07BE"/>
    <w:rsid w:val="1E5D1B24"/>
    <w:rsid w:val="1E5E6324"/>
    <w:rsid w:val="1E5F6792"/>
    <w:rsid w:val="1E63092D"/>
    <w:rsid w:val="1E9C38E2"/>
    <w:rsid w:val="1EA002EB"/>
    <w:rsid w:val="1EB15399"/>
    <w:rsid w:val="1EB52098"/>
    <w:rsid w:val="1EEC0FC8"/>
    <w:rsid w:val="1F005142"/>
    <w:rsid w:val="1F0B1B01"/>
    <w:rsid w:val="1F0F10C1"/>
    <w:rsid w:val="1F183211"/>
    <w:rsid w:val="1F1E09A9"/>
    <w:rsid w:val="1F231F96"/>
    <w:rsid w:val="1F323506"/>
    <w:rsid w:val="1F331181"/>
    <w:rsid w:val="1F5813D2"/>
    <w:rsid w:val="1F607B03"/>
    <w:rsid w:val="1F76472A"/>
    <w:rsid w:val="1F8C126C"/>
    <w:rsid w:val="1F975093"/>
    <w:rsid w:val="1FA1055C"/>
    <w:rsid w:val="1FAC7F66"/>
    <w:rsid w:val="1FBC7012"/>
    <w:rsid w:val="1FE40327"/>
    <w:rsid w:val="1FE45D99"/>
    <w:rsid w:val="203C7CFF"/>
    <w:rsid w:val="20435E57"/>
    <w:rsid w:val="20564B8F"/>
    <w:rsid w:val="205E0B95"/>
    <w:rsid w:val="205E374F"/>
    <w:rsid w:val="206C0477"/>
    <w:rsid w:val="207831EE"/>
    <w:rsid w:val="207C7C48"/>
    <w:rsid w:val="209A70C3"/>
    <w:rsid w:val="209D66D8"/>
    <w:rsid w:val="20A81F64"/>
    <w:rsid w:val="20BB45E6"/>
    <w:rsid w:val="20BF6983"/>
    <w:rsid w:val="20C231F3"/>
    <w:rsid w:val="20C90A33"/>
    <w:rsid w:val="20EB7145"/>
    <w:rsid w:val="213012A5"/>
    <w:rsid w:val="2148271B"/>
    <w:rsid w:val="21573226"/>
    <w:rsid w:val="216C6D4C"/>
    <w:rsid w:val="216E6661"/>
    <w:rsid w:val="21771C16"/>
    <w:rsid w:val="217C4677"/>
    <w:rsid w:val="217E29E4"/>
    <w:rsid w:val="217E6719"/>
    <w:rsid w:val="21A76E3A"/>
    <w:rsid w:val="21C71467"/>
    <w:rsid w:val="21CE0576"/>
    <w:rsid w:val="21F85958"/>
    <w:rsid w:val="221E547D"/>
    <w:rsid w:val="224225CC"/>
    <w:rsid w:val="224B545D"/>
    <w:rsid w:val="2251453E"/>
    <w:rsid w:val="225C2AA5"/>
    <w:rsid w:val="229A6C76"/>
    <w:rsid w:val="22A67883"/>
    <w:rsid w:val="22D8475F"/>
    <w:rsid w:val="230A0726"/>
    <w:rsid w:val="231E0DEF"/>
    <w:rsid w:val="232E4A77"/>
    <w:rsid w:val="23367913"/>
    <w:rsid w:val="234D36CA"/>
    <w:rsid w:val="23517843"/>
    <w:rsid w:val="235F5FE0"/>
    <w:rsid w:val="23763B1D"/>
    <w:rsid w:val="23786084"/>
    <w:rsid w:val="23A24030"/>
    <w:rsid w:val="23AE701C"/>
    <w:rsid w:val="23BB341A"/>
    <w:rsid w:val="23C3320D"/>
    <w:rsid w:val="23ED56B1"/>
    <w:rsid w:val="23FE5682"/>
    <w:rsid w:val="240E1F02"/>
    <w:rsid w:val="241C3A73"/>
    <w:rsid w:val="243704CB"/>
    <w:rsid w:val="244075D1"/>
    <w:rsid w:val="2468039D"/>
    <w:rsid w:val="247A6A08"/>
    <w:rsid w:val="24943B01"/>
    <w:rsid w:val="24B078CA"/>
    <w:rsid w:val="24BB0446"/>
    <w:rsid w:val="24BD1D2E"/>
    <w:rsid w:val="24C24A66"/>
    <w:rsid w:val="24C25475"/>
    <w:rsid w:val="24DF1CC7"/>
    <w:rsid w:val="24E22CDA"/>
    <w:rsid w:val="24EC21D5"/>
    <w:rsid w:val="24FC6EA4"/>
    <w:rsid w:val="2505287D"/>
    <w:rsid w:val="250A4E42"/>
    <w:rsid w:val="2533305C"/>
    <w:rsid w:val="253F159B"/>
    <w:rsid w:val="25686BB2"/>
    <w:rsid w:val="25977ED2"/>
    <w:rsid w:val="25AD6C61"/>
    <w:rsid w:val="25B24600"/>
    <w:rsid w:val="25B60A97"/>
    <w:rsid w:val="25C4457F"/>
    <w:rsid w:val="25D31C77"/>
    <w:rsid w:val="25D41C93"/>
    <w:rsid w:val="25E23373"/>
    <w:rsid w:val="25E46C41"/>
    <w:rsid w:val="25E477B1"/>
    <w:rsid w:val="26161DDE"/>
    <w:rsid w:val="26216AA3"/>
    <w:rsid w:val="26450332"/>
    <w:rsid w:val="2667680E"/>
    <w:rsid w:val="269411A9"/>
    <w:rsid w:val="26974AD3"/>
    <w:rsid w:val="26CA54EE"/>
    <w:rsid w:val="26FC1A0C"/>
    <w:rsid w:val="270A00B0"/>
    <w:rsid w:val="27154970"/>
    <w:rsid w:val="27225C7F"/>
    <w:rsid w:val="272475EB"/>
    <w:rsid w:val="272B08C7"/>
    <w:rsid w:val="275552C8"/>
    <w:rsid w:val="275C32A8"/>
    <w:rsid w:val="275C4956"/>
    <w:rsid w:val="277A0C30"/>
    <w:rsid w:val="277B6F93"/>
    <w:rsid w:val="278B121B"/>
    <w:rsid w:val="279651AD"/>
    <w:rsid w:val="279D6589"/>
    <w:rsid w:val="27C23419"/>
    <w:rsid w:val="28117017"/>
    <w:rsid w:val="28475436"/>
    <w:rsid w:val="284E6AEC"/>
    <w:rsid w:val="285312E8"/>
    <w:rsid w:val="28597FDD"/>
    <w:rsid w:val="286D6308"/>
    <w:rsid w:val="287C5BD0"/>
    <w:rsid w:val="287D73F4"/>
    <w:rsid w:val="287E015C"/>
    <w:rsid w:val="288E5A59"/>
    <w:rsid w:val="289469B5"/>
    <w:rsid w:val="28DF589D"/>
    <w:rsid w:val="28EC15EA"/>
    <w:rsid w:val="28EE5D72"/>
    <w:rsid w:val="28F16ECE"/>
    <w:rsid w:val="28F22D27"/>
    <w:rsid w:val="29197527"/>
    <w:rsid w:val="2923202A"/>
    <w:rsid w:val="292E3601"/>
    <w:rsid w:val="293909E5"/>
    <w:rsid w:val="2959682C"/>
    <w:rsid w:val="295B4666"/>
    <w:rsid w:val="295B6224"/>
    <w:rsid w:val="296C46D1"/>
    <w:rsid w:val="29881CD0"/>
    <w:rsid w:val="29CE1B1F"/>
    <w:rsid w:val="2A04072B"/>
    <w:rsid w:val="2A0E1DB2"/>
    <w:rsid w:val="2A44512A"/>
    <w:rsid w:val="2A896EA8"/>
    <w:rsid w:val="2A970FA7"/>
    <w:rsid w:val="2AA1242C"/>
    <w:rsid w:val="2AA82E0B"/>
    <w:rsid w:val="2AC61149"/>
    <w:rsid w:val="2AF82294"/>
    <w:rsid w:val="2B0D266D"/>
    <w:rsid w:val="2B287DFF"/>
    <w:rsid w:val="2B295FBC"/>
    <w:rsid w:val="2B326F9D"/>
    <w:rsid w:val="2B494A98"/>
    <w:rsid w:val="2B5B2CB3"/>
    <w:rsid w:val="2B5F2159"/>
    <w:rsid w:val="2B87409E"/>
    <w:rsid w:val="2BA605C9"/>
    <w:rsid w:val="2BC805E5"/>
    <w:rsid w:val="2BD31970"/>
    <w:rsid w:val="2C1C09DF"/>
    <w:rsid w:val="2C2A62E5"/>
    <w:rsid w:val="2C4A6A13"/>
    <w:rsid w:val="2C4C1061"/>
    <w:rsid w:val="2C565ECC"/>
    <w:rsid w:val="2C5D2CDE"/>
    <w:rsid w:val="2C732509"/>
    <w:rsid w:val="2CA877B4"/>
    <w:rsid w:val="2CE357A6"/>
    <w:rsid w:val="2CF94F3A"/>
    <w:rsid w:val="2CFD21AB"/>
    <w:rsid w:val="2D044A62"/>
    <w:rsid w:val="2D11435D"/>
    <w:rsid w:val="2D1616BB"/>
    <w:rsid w:val="2D356C02"/>
    <w:rsid w:val="2D4A1E5E"/>
    <w:rsid w:val="2D6C4311"/>
    <w:rsid w:val="2D75565E"/>
    <w:rsid w:val="2D95555E"/>
    <w:rsid w:val="2DA428AB"/>
    <w:rsid w:val="2DA53A09"/>
    <w:rsid w:val="2DAD0E30"/>
    <w:rsid w:val="2DC64F86"/>
    <w:rsid w:val="2DE55694"/>
    <w:rsid w:val="2DF53694"/>
    <w:rsid w:val="2E1E38A5"/>
    <w:rsid w:val="2E2B03BD"/>
    <w:rsid w:val="2E3C7CE1"/>
    <w:rsid w:val="2E624B86"/>
    <w:rsid w:val="2E631460"/>
    <w:rsid w:val="2E8F0FAC"/>
    <w:rsid w:val="2E8F4CEC"/>
    <w:rsid w:val="2E935D9F"/>
    <w:rsid w:val="2E991ECF"/>
    <w:rsid w:val="2EA27B47"/>
    <w:rsid w:val="2ECD5827"/>
    <w:rsid w:val="2EDB2014"/>
    <w:rsid w:val="2EF121AC"/>
    <w:rsid w:val="2EF4326C"/>
    <w:rsid w:val="2EFD002C"/>
    <w:rsid w:val="2F06318E"/>
    <w:rsid w:val="2F0E6118"/>
    <w:rsid w:val="2F0E7CC5"/>
    <w:rsid w:val="2F282AFF"/>
    <w:rsid w:val="2F340377"/>
    <w:rsid w:val="2F5423DE"/>
    <w:rsid w:val="2F687A02"/>
    <w:rsid w:val="2F7C09C4"/>
    <w:rsid w:val="2F872561"/>
    <w:rsid w:val="2F923FD4"/>
    <w:rsid w:val="2FCF4347"/>
    <w:rsid w:val="2FF01677"/>
    <w:rsid w:val="2FFB7141"/>
    <w:rsid w:val="300C111F"/>
    <w:rsid w:val="30134E24"/>
    <w:rsid w:val="3032576D"/>
    <w:rsid w:val="307E15D8"/>
    <w:rsid w:val="308309AF"/>
    <w:rsid w:val="30B605A9"/>
    <w:rsid w:val="30C1399F"/>
    <w:rsid w:val="30F821AD"/>
    <w:rsid w:val="31261746"/>
    <w:rsid w:val="31335DD2"/>
    <w:rsid w:val="31446B25"/>
    <w:rsid w:val="31477764"/>
    <w:rsid w:val="314F23D4"/>
    <w:rsid w:val="316A6253"/>
    <w:rsid w:val="316C08B1"/>
    <w:rsid w:val="31762346"/>
    <w:rsid w:val="31773806"/>
    <w:rsid w:val="3191451F"/>
    <w:rsid w:val="31964863"/>
    <w:rsid w:val="31CA487C"/>
    <w:rsid w:val="31D744B1"/>
    <w:rsid w:val="31E74291"/>
    <w:rsid w:val="31E8537D"/>
    <w:rsid w:val="31EA0882"/>
    <w:rsid w:val="31F63E52"/>
    <w:rsid w:val="321108FB"/>
    <w:rsid w:val="32226C83"/>
    <w:rsid w:val="322B7F9E"/>
    <w:rsid w:val="324D685D"/>
    <w:rsid w:val="32630EC2"/>
    <w:rsid w:val="326F2D7A"/>
    <w:rsid w:val="327F2A46"/>
    <w:rsid w:val="327F7691"/>
    <w:rsid w:val="32A5395B"/>
    <w:rsid w:val="32B0050B"/>
    <w:rsid w:val="32B51610"/>
    <w:rsid w:val="32B9548C"/>
    <w:rsid w:val="32DC36E2"/>
    <w:rsid w:val="331A0CC7"/>
    <w:rsid w:val="33354322"/>
    <w:rsid w:val="338031A5"/>
    <w:rsid w:val="339307A2"/>
    <w:rsid w:val="339665CD"/>
    <w:rsid w:val="339C0014"/>
    <w:rsid w:val="33BE3660"/>
    <w:rsid w:val="33FB1A28"/>
    <w:rsid w:val="34325EA0"/>
    <w:rsid w:val="3438793E"/>
    <w:rsid w:val="34424290"/>
    <w:rsid w:val="344D0AC3"/>
    <w:rsid w:val="344E624C"/>
    <w:rsid w:val="34664FDF"/>
    <w:rsid w:val="346A1556"/>
    <w:rsid w:val="347C0312"/>
    <w:rsid w:val="34953EE2"/>
    <w:rsid w:val="34C6674C"/>
    <w:rsid w:val="35167971"/>
    <w:rsid w:val="351F4486"/>
    <w:rsid w:val="354B7BB1"/>
    <w:rsid w:val="355E6559"/>
    <w:rsid w:val="357A4556"/>
    <w:rsid w:val="358B134C"/>
    <w:rsid w:val="35923849"/>
    <w:rsid w:val="35A934BB"/>
    <w:rsid w:val="35B3649E"/>
    <w:rsid w:val="35B9327F"/>
    <w:rsid w:val="35C8326A"/>
    <w:rsid w:val="35DB0DFA"/>
    <w:rsid w:val="35F22B0C"/>
    <w:rsid w:val="35FD451B"/>
    <w:rsid w:val="36006ABE"/>
    <w:rsid w:val="3608292D"/>
    <w:rsid w:val="3611044F"/>
    <w:rsid w:val="36134BEB"/>
    <w:rsid w:val="36330B76"/>
    <w:rsid w:val="363E4AFE"/>
    <w:rsid w:val="364D759C"/>
    <w:rsid w:val="364E609E"/>
    <w:rsid w:val="366D7325"/>
    <w:rsid w:val="3676645A"/>
    <w:rsid w:val="368422A8"/>
    <w:rsid w:val="368911D1"/>
    <w:rsid w:val="36A078B4"/>
    <w:rsid w:val="37081B00"/>
    <w:rsid w:val="370E459D"/>
    <w:rsid w:val="371F47DC"/>
    <w:rsid w:val="37306623"/>
    <w:rsid w:val="37386CB2"/>
    <w:rsid w:val="37651380"/>
    <w:rsid w:val="37661B95"/>
    <w:rsid w:val="37855D26"/>
    <w:rsid w:val="379936AF"/>
    <w:rsid w:val="379F4ED0"/>
    <w:rsid w:val="37B96AC5"/>
    <w:rsid w:val="37F820D5"/>
    <w:rsid w:val="38301361"/>
    <w:rsid w:val="383A42AC"/>
    <w:rsid w:val="384946D4"/>
    <w:rsid w:val="385D639B"/>
    <w:rsid w:val="38883346"/>
    <w:rsid w:val="388E5B62"/>
    <w:rsid w:val="38965B97"/>
    <w:rsid w:val="38AB710B"/>
    <w:rsid w:val="38E93304"/>
    <w:rsid w:val="38EC4534"/>
    <w:rsid w:val="3920696A"/>
    <w:rsid w:val="39250114"/>
    <w:rsid w:val="3928228C"/>
    <w:rsid w:val="393A2F9C"/>
    <w:rsid w:val="39403002"/>
    <w:rsid w:val="39565449"/>
    <w:rsid w:val="39BF74EB"/>
    <w:rsid w:val="39C84EE9"/>
    <w:rsid w:val="39E6409E"/>
    <w:rsid w:val="39F80570"/>
    <w:rsid w:val="39FB2704"/>
    <w:rsid w:val="39FD1350"/>
    <w:rsid w:val="3A08110C"/>
    <w:rsid w:val="3A103069"/>
    <w:rsid w:val="3A11279D"/>
    <w:rsid w:val="3A325132"/>
    <w:rsid w:val="3A514BA3"/>
    <w:rsid w:val="3A631534"/>
    <w:rsid w:val="3A73062E"/>
    <w:rsid w:val="3AA33175"/>
    <w:rsid w:val="3AD25330"/>
    <w:rsid w:val="3ADD23BB"/>
    <w:rsid w:val="3B05109C"/>
    <w:rsid w:val="3B0C46A7"/>
    <w:rsid w:val="3B0F574E"/>
    <w:rsid w:val="3B3B7897"/>
    <w:rsid w:val="3B58720B"/>
    <w:rsid w:val="3B5C6817"/>
    <w:rsid w:val="3B6E75E8"/>
    <w:rsid w:val="3B9E3D85"/>
    <w:rsid w:val="3BA857BE"/>
    <w:rsid w:val="3C034EF4"/>
    <w:rsid w:val="3C0A331D"/>
    <w:rsid w:val="3C121815"/>
    <w:rsid w:val="3C387CA7"/>
    <w:rsid w:val="3C454F58"/>
    <w:rsid w:val="3C4E5D75"/>
    <w:rsid w:val="3C4F05DB"/>
    <w:rsid w:val="3C64255D"/>
    <w:rsid w:val="3C7C008F"/>
    <w:rsid w:val="3C843EF5"/>
    <w:rsid w:val="3C8C7BE0"/>
    <w:rsid w:val="3C8E54C2"/>
    <w:rsid w:val="3CA3658C"/>
    <w:rsid w:val="3CDF60A9"/>
    <w:rsid w:val="3CE54FBD"/>
    <w:rsid w:val="3D1F0176"/>
    <w:rsid w:val="3D390E2F"/>
    <w:rsid w:val="3D3A3E54"/>
    <w:rsid w:val="3D3A659B"/>
    <w:rsid w:val="3D422640"/>
    <w:rsid w:val="3D70354C"/>
    <w:rsid w:val="3DB3312C"/>
    <w:rsid w:val="3DB4623F"/>
    <w:rsid w:val="3DDF4ED2"/>
    <w:rsid w:val="3DE4262D"/>
    <w:rsid w:val="3E060B46"/>
    <w:rsid w:val="3E085FE2"/>
    <w:rsid w:val="3E13349E"/>
    <w:rsid w:val="3E4E401B"/>
    <w:rsid w:val="3E694CE5"/>
    <w:rsid w:val="3E705E35"/>
    <w:rsid w:val="3E84271F"/>
    <w:rsid w:val="3E982662"/>
    <w:rsid w:val="3EAA1047"/>
    <w:rsid w:val="3EAB370D"/>
    <w:rsid w:val="3ED51AC6"/>
    <w:rsid w:val="3EE90573"/>
    <w:rsid w:val="3EF10DBA"/>
    <w:rsid w:val="3EFF3386"/>
    <w:rsid w:val="3F071143"/>
    <w:rsid w:val="3F2201E1"/>
    <w:rsid w:val="3F255C82"/>
    <w:rsid w:val="3F2E4F90"/>
    <w:rsid w:val="3F3B3508"/>
    <w:rsid w:val="3F494EDE"/>
    <w:rsid w:val="3F647006"/>
    <w:rsid w:val="3FA21AAC"/>
    <w:rsid w:val="3FA41308"/>
    <w:rsid w:val="3FFC5E83"/>
    <w:rsid w:val="40041F36"/>
    <w:rsid w:val="40136D56"/>
    <w:rsid w:val="402A7212"/>
    <w:rsid w:val="403B15BA"/>
    <w:rsid w:val="40470D40"/>
    <w:rsid w:val="404C42F6"/>
    <w:rsid w:val="406414E5"/>
    <w:rsid w:val="409A294A"/>
    <w:rsid w:val="40A755C8"/>
    <w:rsid w:val="40B20024"/>
    <w:rsid w:val="40C97F2D"/>
    <w:rsid w:val="40F2719E"/>
    <w:rsid w:val="410A61D6"/>
    <w:rsid w:val="412D14C3"/>
    <w:rsid w:val="41446CD4"/>
    <w:rsid w:val="415C668F"/>
    <w:rsid w:val="41672436"/>
    <w:rsid w:val="4176372A"/>
    <w:rsid w:val="41791139"/>
    <w:rsid w:val="41905FA1"/>
    <w:rsid w:val="419E4563"/>
    <w:rsid w:val="41B532D1"/>
    <w:rsid w:val="41CA1DC2"/>
    <w:rsid w:val="41EF5972"/>
    <w:rsid w:val="41FB7F47"/>
    <w:rsid w:val="41FC757A"/>
    <w:rsid w:val="423B22C1"/>
    <w:rsid w:val="4249368C"/>
    <w:rsid w:val="426B3006"/>
    <w:rsid w:val="428D4123"/>
    <w:rsid w:val="42932C52"/>
    <w:rsid w:val="42A0635B"/>
    <w:rsid w:val="42B72813"/>
    <w:rsid w:val="42D85973"/>
    <w:rsid w:val="42DC33E6"/>
    <w:rsid w:val="42EC1351"/>
    <w:rsid w:val="42ED2437"/>
    <w:rsid w:val="42F36930"/>
    <w:rsid w:val="42FD181D"/>
    <w:rsid w:val="431061FB"/>
    <w:rsid w:val="43124BF6"/>
    <w:rsid w:val="4349465A"/>
    <w:rsid w:val="434C64BC"/>
    <w:rsid w:val="43733BD8"/>
    <w:rsid w:val="437B4910"/>
    <w:rsid w:val="438576D3"/>
    <w:rsid w:val="439D4508"/>
    <w:rsid w:val="43BB7BC6"/>
    <w:rsid w:val="43F57316"/>
    <w:rsid w:val="43F97CBE"/>
    <w:rsid w:val="43FE0DEA"/>
    <w:rsid w:val="440F7F4E"/>
    <w:rsid w:val="443C69AB"/>
    <w:rsid w:val="443D7047"/>
    <w:rsid w:val="44472E30"/>
    <w:rsid w:val="444D0235"/>
    <w:rsid w:val="44515BDE"/>
    <w:rsid w:val="4459017B"/>
    <w:rsid w:val="445D5269"/>
    <w:rsid w:val="44603D31"/>
    <w:rsid w:val="44796CB8"/>
    <w:rsid w:val="4489115A"/>
    <w:rsid w:val="44A06867"/>
    <w:rsid w:val="44AF59B2"/>
    <w:rsid w:val="44DA6990"/>
    <w:rsid w:val="44F3414B"/>
    <w:rsid w:val="44F63C49"/>
    <w:rsid w:val="4505021A"/>
    <w:rsid w:val="450D2286"/>
    <w:rsid w:val="45124355"/>
    <w:rsid w:val="45145211"/>
    <w:rsid w:val="45195D67"/>
    <w:rsid w:val="453D2F6D"/>
    <w:rsid w:val="45670135"/>
    <w:rsid w:val="45B43DDA"/>
    <w:rsid w:val="45B46C25"/>
    <w:rsid w:val="45DE514B"/>
    <w:rsid w:val="45E15D05"/>
    <w:rsid w:val="45F05899"/>
    <w:rsid w:val="460B4CE3"/>
    <w:rsid w:val="46313F54"/>
    <w:rsid w:val="466A2047"/>
    <w:rsid w:val="467A1B75"/>
    <w:rsid w:val="467D79DB"/>
    <w:rsid w:val="468D61C8"/>
    <w:rsid w:val="46A351E3"/>
    <w:rsid w:val="46A76529"/>
    <w:rsid w:val="46E43A69"/>
    <w:rsid w:val="46EA67B4"/>
    <w:rsid w:val="46ED441E"/>
    <w:rsid w:val="470D7622"/>
    <w:rsid w:val="47301DD5"/>
    <w:rsid w:val="4743695F"/>
    <w:rsid w:val="475A18C2"/>
    <w:rsid w:val="47634BEC"/>
    <w:rsid w:val="47850A9C"/>
    <w:rsid w:val="47912B64"/>
    <w:rsid w:val="47A60956"/>
    <w:rsid w:val="47AA61EF"/>
    <w:rsid w:val="47C856F3"/>
    <w:rsid w:val="47CB09D0"/>
    <w:rsid w:val="47FD2C41"/>
    <w:rsid w:val="48052AF3"/>
    <w:rsid w:val="482011AC"/>
    <w:rsid w:val="483A6315"/>
    <w:rsid w:val="486D65CA"/>
    <w:rsid w:val="48833C1D"/>
    <w:rsid w:val="488D6D20"/>
    <w:rsid w:val="48A20B29"/>
    <w:rsid w:val="48AB6D0B"/>
    <w:rsid w:val="48AE07FD"/>
    <w:rsid w:val="48D07AE8"/>
    <w:rsid w:val="48FD056C"/>
    <w:rsid w:val="48FD1308"/>
    <w:rsid w:val="49065A07"/>
    <w:rsid w:val="492B3B75"/>
    <w:rsid w:val="492C0724"/>
    <w:rsid w:val="49452DA3"/>
    <w:rsid w:val="49507668"/>
    <w:rsid w:val="499251F8"/>
    <w:rsid w:val="49D32961"/>
    <w:rsid w:val="49DC565F"/>
    <w:rsid w:val="4A0C6C43"/>
    <w:rsid w:val="4A2441A9"/>
    <w:rsid w:val="4A377527"/>
    <w:rsid w:val="4A390F2C"/>
    <w:rsid w:val="4A5F7E57"/>
    <w:rsid w:val="4A616265"/>
    <w:rsid w:val="4A8E4B4C"/>
    <w:rsid w:val="4A9016EF"/>
    <w:rsid w:val="4A93160D"/>
    <w:rsid w:val="4AA84D81"/>
    <w:rsid w:val="4AEE41B5"/>
    <w:rsid w:val="4B071464"/>
    <w:rsid w:val="4B303281"/>
    <w:rsid w:val="4B320613"/>
    <w:rsid w:val="4B374116"/>
    <w:rsid w:val="4B464AF4"/>
    <w:rsid w:val="4B533BA7"/>
    <w:rsid w:val="4B741F73"/>
    <w:rsid w:val="4B787A83"/>
    <w:rsid w:val="4B7E604B"/>
    <w:rsid w:val="4B8D109C"/>
    <w:rsid w:val="4B980B33"/>
    <w:rsid w:val="4BB04AD1"/>
    <w:rsid w:val="4BB35ED4"/>
    <w:rsid w:val="4BC27600"/>
    <w:rsid w:val="4BF55535"/>
    <w:rsid w:val="4C027487"/>
    <w:rsid w:val="4C1A3C5B"/>
    <w:rsid w:val="4C2B0FF3"/>
    <w:rsid w:val="4C6827AA"/>
    <w:rsid w:val="4C9924E6"/>
    <w:rsid w:val="4CA52325"/>
    <w:rsid w:val="4CE2333A"/>
    <w:rsid w:val="4CED3E7A"/>
    <w:rsid w:val="4CF603FD"/>
    <w:rsid w:val="4CF8481E"/>
    <w:rsid w:val="4D091698"/>
    <w:rsid w:val="4D100F3B"/>
    <w:rsid w:val="4D2126E2"/>
    <w:rsid w:val="4D2D7A90"/>
    <w:rsid w:val="4D310234"/>
    <w:rsid w:val="4D703987"/>
    <w:rsid w:val="4D77020C"/>
    <w:rsid w:val="4D842E84"/>
    <w:rsid w:val="4D8B3589"/>
    <w:rsid w:val="4D934C4F"/>
    <w:rsid w:val="4D9A7C5A"/>
    <w:rsid w:val="4D9E48F7"/>
    <w:rsid w:val="4DA80819"/>
    <w:rsid w:val="4DBB797F"/>
    <w:rsid w:val="4DC76879"/>
    <w:rsid w:val="4DCA6046"/>
    <w:rsid w:val="4DD748EF"/>
    <w:rsid w:val="4DEA0D07"/>
    <w:rsid w:val="4E33272B"/>
    <w:rsid w:val="4E3D1B02"/>
    <w:rsid w:val="4E4301C5"/>
    <w:rsid w:val="4E4B7606"/>
    <w:rsid w:val="4E721AD8"/>
    <w:rsid w:val="4E7727A0"/>
    <w:rsid w:val="4E8B229C"/>
    <w:rsid w:val="4E9F014A"/>
    <w:rsid w:val="4EAA6FC8"/>
    <w:rsid w:val="4EC11740"/>
    <w:rsid w:val="4ECD2C07"/>
    <w:rsid w:val="4EE227C4"/>
    <w:rsid w:val="4EE47D2F"/>
    <w:rsid w:val="4F121A4A"/>
    <w:rsid w:val="4F264A08"/>
    <w:rsid w:val="4F310C7D"/>
    <w:rsid w:val="4F3D6FFC"/>
    <w:rsid w:val="4F5705EC"/>
    <w:rsid w:val="4F6B375C"/>
    <w:rsid w:val="4F9C0E06"/>
    <w:rsid w:val="4FB65C53"/>
    <w:rsid w:val="4FBC3BA6"/>
    <w:rsid w:val="4FF13487"/>
    <w:rsid w:val="50167F78"/>
    <w:rsid w:val="502C2DCE"/>
    <w:rsid w:val="50464BF4"/>
    <w:rsid w:val="504B57C3"/>
    <w:rsid w:val="504D365B"/>
    <w:rsid w:val="50642376"/>
    <w:rsid w:val="506B2D33"/>
    <w:rsid w:val="507E6AE8"/>
    <w:rsid w:val="509C53F9"/>
    <w:rsid w:val="50A05849"/>
    <w:rsid w:val="50A75E36"/>
    <w:rsid w:val="50B00FFE"/>
    <w:rsid w:val="50B03469"/>
    <w:rsid w:val="50D00CA9"/>
    <w:rsid w:val="50EB5D50"/>
    <w:rsid w:val="51035DBC"/>
    <w:rsid w:val="51076E21"/>
    <w:rsid w:val="51161A3F"/>
    <w:rsid w:val="512837C6"/>
    <w:rsid w:val="512E568B"/>
    <w:rsid w:val="513375BA"/>
    <w:rsid w:val="514A3712"/>
    <w:rsid w:val="5156539D"/>
    <w:rsid w:val="5177229C"/>
    <w:rsid w:val="518F2042"/>
    <w:rsid w:val="51E82002"/>
    <w:rsid w:val="51F46AC1"/>
    <w:rsid w:val="521E1B03"/>
    <w:rsid w:val="52207E23"/>
    <w:rsid w:val="522945D9"/>
    <w:rsid w:val="52340653"/>
    <w:rsid w:val="52700369"/>
    <w:rsid w:val="5275659E"/>
    <w:rsid w:val="527C4797"/>
    <w:rsid w:val="528B33B2"/>
    <w:rsid w:val="52912171"/>
    <w:rsid w:val="52C958B1"/>
    <w:rsid w:val="52DA603D"/>
    <w:rsid w:val="53136554"/>
    <w:rsid w:val="53170140"/>
    <w:rsid w:val="532A3DB5"/>
    <w:rsid w:val="533C6782"/>
    <w:rsid w:val="535C71F1"/>
    <w:rsid w:val="538612F7"/>
    <w:rsid w:val="5391068B"/>
    <w:rsid w:val="539F5885"/>
    <w:rsid w:val="53A305A4"/>
    <w:rsid w:val="53C1252E"/>
    <w:rsid w:val="53D8481F"/>
    <w:rsid w:val="53DE6732"/>
    <w:rsid w:val="53E27E61"/>
    <w:rsid w:val="53EE68C4"/>
    <w:rsid w:val="53FC59E4"/>
    <w:rsid w:val="54063C99"/>
    <w:rsid w:val="540674FE"/>
    <w:rsid w:val="5411192B"/>
    <w:rsid w:val="54257606"/>
    <w:rsid w:val="54281F1B"/>
    <w:rsid w:val="542A702A"/>
    <w:rsid w:val="5440484D"/>
    <w:rsid w:val="54585D1F"/>
    <w:rsid w:val="54861FC1"/>
    <w:rsid w:val="549A68BF"/>
    <w:rsid w:val="54B17058"/>
    <w:rsid w:val="54B8394F"/>
    <w:rsid w:val="54D27C4A"/>
    <w:rsid w:val="54DF5E53"/>
    <w:rsid w:val="54F040B1"/>
    <w:rsid w:val="54FA3657"/>
    <w:rsid w:val="55253ABF"/>
    <w:rsid w:val="55372701"/>
    <w:rsid w:val="5547445B"/>
    <w:rsid w:val="55512E3A"/>
    <w:rsid w:val="555D2DB9"/>
    <w:rsid w:val="557B63B7"/>
    <w:rsid w:val="55A2710F"/>
    <w:rsid w:val="55AC29D7"/>
    <w:rsid w:val="55C007F7"/>
    <w:rsid w:val="55D56B6C"/>
    <w:rsid w:val="55D65342"/>
    <w:rsid w:val="55D96CF0"/>
    <w:rsid w:val="55DD10D2"/>
    <w:rsid w:val="55F60907"/>
    <w:rsid w:val="55F8403F"/>
    <w:rsid w:val="560E2C77"/>
    <w:rsid w:val="5612021F"/>
    <w:rsid w:val="56133934"/>
    <w:rsid w:val="561D2F6A"/>
    <w:rsid w:val="564404C9"/>
    <w:rsid w:val="564411EB"/>
    <w:rsid w:val="564A1FBA"/>
    <w:rsid w:val="565323AA"/>
    <w:rsid w:val="5658328F"/>
    <w:rsid w:val="565D42FD"/>
    <w:rsid w:val="566009A0"/>
    <w:rsid w:val="56AD6753"/>
    <w:rsid w:val="56ED54A5"/>
    <w:rsid w:val="57000A54"/>
    <w:rsid w:val="57104A3D"/>
    <w:rsid w:val="571A0928"/>
    <w:rsid w:val="572255CB"/>
    <w:rsid w:val="572921CE"/>
    <w:rsid w:val="57616078"/>
    <w:rsid w:val="577737AD"/>
    <w:rsid w:val="5790546F"/>
    <w:rsid w:val="57D11273"/>
    <w:rsid w:val="57D145E5"/>
    <w:rsid w:val="57EA44D3"/>
    <w:rsid w:val="57ED7938"/>
    <w:rsid w:val="58103DEF"/>
    <w:rsid w:val="583A735D"/>
    <w:rsid w:val="583C1933"/>
    <w:rsid w:val="584248C9"/>
    <w:rsid w:val="58554791"/>
    <w:rsid w:val="587454D1"/>
    <w:rsid w:val="5888393B"/>
    <w:rsid w:val="58A23C06"/>
    <w:rsid w:val="58A72693"/>
    <w:rsid w:val="58DD319F"/>
    <w:rsid w:val="59040F4C"/>
    <w:rsid w:val="590A7698"/>
    <w:rsid w:val="59170802"/>
    <w:rsid w:val="5937759D"/>
    <w:rsid w:val="593C377E"/>
    <w:rsid w:val="594134A1"/>
    <w:rsid w:val="596C5710"/>
    <w:rsid w:val="599177BF"/>
    <w:rsid w:val="599F7F9F"/>
    <w:rsid w:val="59AC19B3"/>
    <w:rsid w:val="59CE60CD"/>
    <w:rsid w:val="59D9044C"/>
    <w:rsid w:val="59DB6105"/>
    <w:rsid w:val="59DD1A96"/>
    <w:rsid w:val="59E672E5"/>
    <w:rsid w:val="5A1522D8"/>
    <w:rsid w:val="5A165BAE"/>
    <w:rsid w:val="5A24278F"/>
    <w:rsid w:val="5A420389"/>
    <w:rsid w:val="5A472FB1"/>
    <w:rsid w:val="5A704058"/>
    <w:rsid w:val="5A7E4377"/>
    <w:rsid w:val="5A802224"/>
    <w:rsid w:val="5A89003F"/>
    <w:rsid w:val="5A9B505E"/>
    <w:rsid w:val="5AA943E6"/>
    <w:rsid w:val="5AB26089"/>
    <w:rsid w:val="5AC85E24"/>
    <w:rsid w:val="5AD4558D"/>
    <w:rsid w:val="5AFF190A"/>
    <w:rsid w:val="5AFF2532"/>
    <w:rsid w:val="5B12538F"/>
    <w:rsid w:val="5B2415DA"/>
    <w:rsid w:val="5B2F057D"/>
    <w:rsid w:val="5B505C58"/>
    <w:rsid w:val="5B6F0775"/>
    <w:rsid w:val="5B792D6C"/>
    <w:rsid w:val="5B7E2713"/>
    <w:rsid w:val="5B8E404D"/>
    <w:rsid w:val="5BCD6B82"/>
    <w:rsid w:val="5BD54385"/>
    <w:rsid w:val="5C0538EB"/>
    <w:rsid w:val="5C2B5C4D"/>
    <w:rsid w:val="5C2E18E1"/>
    <w:rsid w:val="5C3C263A"/>
    <w:rsid w:val="5C3C2C27"/>
    <w:rsid w:val="5C3E29FB"/>
    <w:rsid w:val="5C672C63"/>
    <w:rsid w:val="5C8C0676"/>
    <w:rsid w:val="5CB3218A"/>
    <w:rsid w:val="5CB7672F"/>
    <w:rsid w:val="5CD04508"/>
    <w:rsid w:val="5CDA3E84"/>
    <w:rsid w:val="5CE811FD"/>
    <w:rsid w:val="5CE84B82"/>
    <w:rsid w:val="5CE967A6"/>
    <w:rsid w:val="5D333B54"/>
    <w:rsid w:val="5D49765E"/>
    <w:rsid w:val="5D8111B8"/>
    <w:rsid w:val="5D915762"/>
    <w:rsid w:val="5DB15540"/>
    <w:rsid w:val="5DC04FEC"/>
    <w:rsid w:val="5DDD4995"/>
    <w:rsid w:val="5DFE3FE2"/>
    <w:rsid w:val="5E0453AE"/>
    <w:rsid w:val="5E664FAC"/>
    <w:rsid w:val="5E675779"/>
    <w:rsid w:val="5E985848"/>
    <w:rsid w:val="5EDF7EA9"/>
    <w:rsid w:val="5EE02631"/>
    <w:rsid w:val="5F062C63"/>
    <w:rsid w:val="5F402296"/>
    <w:rsid w:val="5F456E21"/>
    <w:rsid w:val="5F73552D"/>
    <w:rsid w:val="5F8D44D1"/>
    <w:rsid w:val="5F8E6F84"/>
    <w:rsid w:val="5F9307D6"/>
    <w:rsid w:val="5F9E4A5E"/>
    <w:rsid w:val="5FAA26D4"/>
    <w:rsid w:val="5FEA4182"/>
    <w:rsid w:val="5FFE2622"/>
    <w:rsid w:val="603056C1"/>
    <w:rsid w:val="60387104"/>
    <w:rsid w:val="60397D4F"/>
    <w:rsid w:val="604377BF"/>
    <w:rsid w:val="604A60B2"/>
    <w:rsid w:val="60703D0B"/>
    <w:rsid w:val="608A0914"/>
    <w:rsid w:val="60C10F40"/>
    <w:rsid w:val="60C12706"/>
    <w:rsid w:val="60C15011"/>
    <w:rsid w:val="60C827F8"/>
    <w:rsid w:val="60D67CE3"/>
    <w:rsid w:val="60EA0B47"/>
    <w:rsid w:val="60EA44B6"/>
    <w:rsid w:val="61061815"/>
    <w:rsid w:val="61065CEC"/>
    <w:rsid w:val="611500EE"/>
    <w:rsid w:val="612F14FB"/>
    <w:rsid w:val="61312810"/>
    <w:rsid w:val="614D3082"/>
    <w:rsid w:val="61521FAB"/>
    <w:rsid w:val="6155058B"/>
    <w:rsid w:val="615F1FF7"/>
    <w:rsid w:val="615F47EF"/>
    <w:rsid w:val="6173119D"/>
    <w:rsid w:val="618322DB"/>
    <w:rsid w:val="618E53ED"/>
    <w:rsid w:val="61B554A7"/>
    <w:rsid w:val="61BB6A24"/>
    <w:rsid w:val="61CA26DF"/>
    <w:rsid w:val="61DC51CB"/>
    <w:rsid w:val="61E84258"/>
    <w:rsid w:val="62072592"/>
    <w:rsid w:val="62120AF1"/>
    <w:rsid w:val="62152ED9"/>
    <w:rsid w:val="62290FE7"/>
    <w:rsid w:val="62346586"/>
    <w:rsid w:val="627204F9"/>
    <w:rsid w:val="628C42E3"/>
    <w:rsid w:val="62A36DF8"/>
    <w:rsid w:val="62B250B9"/>
    <w:rsid w:val="62D705AF"/>
    <w:rsid w:val="62E9582D"/>
    <w:rsid w:val="62F055B2"/>
    <w:rsid w:val="62F608A4"/>
    <w:rsid w:val="63085C74"/>
    <w:rsid w:val="630C1F05"/>
    <w:rsid w:val="63363B89"/>
    <w:rsid w:val="63475997"/>
    <w:rsid w:val="63563A70"/>
    <w:rsid w:val="63580A4D"/>
    <w:rsid w:val="638467A7"/>
    <w:rsid w:val="63953B44"/>
    <w:rsid w:val="63B25AE3"/>
    <w:rsid w:val="63C32D03"/>
    <w:rsid w:val="63F244A3"/>
    <w:rsid w:val="64020894"/>
    <w:rsid w:val="64037CF1"/>
    <w:rsid w:val="640B18D1"/>
    <w:rsid w:val="64284D31"/>
    <w:rsid w:val="644961D1"/>
    <w:rsid w:val="64521115"/>
    <w:rsid w:val="645D7CF8"/>
    <w:rsid w:val="6483018A"/>
    <w:rsid w:val="64913ECE"/>
    <w:rsid w:val="649D43E9"/>
    <w:rsid w:val="649E5CEC"/>
    <w:rsid w:val="64E83D4F"/>
    <w:rsid w:val="65254108"/>
    <w:rsid w:val="653035FF"/>
    <w:rsid w:val="653D193B"/>
    <w:rsid w:val="65424C34"/>
    <w:rsid w:val="65846375"/>
    <w:rsid w:val="65FF7A5D"/>
    <w:rsid w:val="6607216D"/>
    <w:rsid w:val="660B36D8"/>
    <w:rsid w:val="662C3451"/>
    <w:rsid w:val="664B327C"/>
    <w:rsid w:val="665F0D15"/>
    <w:rsid w:val="66B53531"/>
    <w:rsid w:val="66B73A6C"/>
    <w:rsid w:val="66BA3A61"/>
    <w:rsid w:val="66BB4713"/>
    <w:rsid w:val="66E649C8"/>
    <w:rsid w:val="67247918"/>
    <w:rsid w:val="67785704"/>
    <w:rsid w:val="677915A0"/>
    <w:rsid w:val="679D3830"/>
    <w:rsid w:val="679F771F"/>
    <w:rsid w:val="67B934DC"/>
    <w:rsid w:val="67BF33EE"/>
    <w:rsid w:val="67CF374B"/>
    <w:rsid w:val="67F16116"/>
    <w:rsid w:val="67FC39D9"/>
    <w:rsid w:val="67FE7D96"/>
    <w:rsid w:val="68000388"/>
    <w:rsid w:val="68171831"/>
    <w:rsid w:val="68287CCE"/>
    <w:rsid w:val="68413773"/>
    <w:rsid w:val="6843281D"/>
    <w:rsid w:val="68433ABE"/>
    <w:rsid w:val="684515AB"/>
    <w:rsid w:val="6876619F"/>
    <w:rsid w:val="688D70D6"/>
    <w:rsid w:val="68942691"/>
    <w:rsid w:val="68A67678"/>
    <w:rsid w:val="68B0611A"/>
    <w:rsid w:val="68D6023A"/>
    <w:rsid w:val="68E034C5"/>
    <w:rsid w:val="68ED6EF8"/>
    <w:rsid w:val="690C7551"/>
    <w:rsid w:val="69142594"/>
    <w:rsid w:val="691902EB"/>
    <w:rsid w:val="695020D6"/>
    <w:rsid w:val="6971099E"/>
    <w:rsid w:val="69977B57"/>
    <w:rsid w:val="69B54511"/>
    <w:rsid w:val="69BA0F08"/>
    <w:rsid w:val="69D32AD4"/>
    <w:rsid w:val="69D4556F"/>
    <w:rsid w:val="69DE0B86"/>
    <w:rsid w:val="69E359FF"/>
    <w:rsid w:val="69FA61DE"/>
    <w:rsid w:val="6A0C0055"/>
    <w:rsid w:val="6A2559AC"/>
    <w:rsid w:val="6A2B0AC4"/>
    <w:rsid w:val="6A2F1121"/>
    <w:rsid w:val="6A865F51"/>
    <w:rsid w:val="6ACA21AB"/>
    <w:rsid w:val="6ACD5E74"/>
    <w:rsid w:val="6AD86036"/>
    <w:rsid w:val="6AE02E0C"/>
    <w:rsid w:val="6AEA5DC9"/>
    <w:rsid w:val="6B087749"/>
    <w:rsid w:val="6B4558C8"/>
    <w:rsid w:val="6B5258C3"/>
    <w:rsid w:val="6B5E25D9"/>
    <w:rsid w:val="6B8549E2"/>
    <w:rsid w:val="6B8F17D8"/>
    <w:rsid w:val="6B9907C9"/>
    <w:rsid w:val="6B9B01DA"/>
    <w:rsid w:val="6BA52610"/>
    <w:rsid w:val="6BA85FFC"/>
    <w:rsid w:val="6BAF1555"/>
    <w:rsid w:val="6BCA2A06"/>
    <w:rsid w:val="6BDE1B06"/>
    <w:rsid w:val="6BF24C24"/>
    <w:rsid w:val="6BF42E3B"/>
    <w:rsid w:val="6C1878BA"/>
    <w:rsid w:val="6C2B60C2"/>
    <w:rsid w:val="6C553917"/>
    <w:rsid w:val="6C5B1D75"/>
    <w:rsid w:val="6C6062CD"/>
    <w:rsid w:val="6C6271A8"/>
    <w:rsid w:val="6C7566F3"/>
    <w:rsid w:val="6C906777"/>
    <w:rsid w:val="6CAF5DC6"/>
    <w:rsid w:val="6CB15C09"/>
    <w:rsid w:val="6CC10622"/>
    <w:rsid w:val="6CDE31A7"/>
    <w:rsid w:val="6CE12F2B"/>
    <w:rsid w:val="6CEA6D6E"/>
    <w:rsid w:val="6CFA23BA"/>
    <w:rsid w:val="6D1616EF"/>
    <w:rsid w:val="6D1B4046"/>
    <w:rsid w:val="6D420531"/>
    <w:rsid w:val="6D517AC5"/>
    <w:rsid w:val="6D55049A"/>
    <w:rsid w:val="6D55539D"/>
    <w:rsid w:val="6D5F4A55"/>
    <w:rsid w:val="6D713C09"/>
    <w:rsid w:val="6D7A5BD4"/>
    <w:rsid w:val="6D7E5E09"/>
    <w:rsid w:val="6D8112D8"/>
    <w:rsid w:val="6D8129CA"/>
    <w:rsid w:val="6DA97346"/>
    <w:rsid w:val="6DB209DD"/>
    <w:rsid w:val="6DB45CF6"/>
    <w:rsid w:val="6DF24FFD"/>
    <w:rsid w:val="6E116D08"/>
    <w:rsid w:val="6E135025"/>
    <w:rsid w:val="6E3741BF"/>
    <w:rsid w:val="6E462BE2"/>
    <w:rsid w:val="6E5C10F8"/>
    <w:rsid w:val="6E6C1932"/>
    <w:rsid w:val="6EB730B4"/>
    <w:rsid w:val="6EBD36DE"/>
    <w:rsid w:val="6EBF3A3D"/>
    <w:rsid w:val="6EDD2182"/>
    <w:rsid w:val="6F12611E"/>
    <w:rsid w:val="6F5A7C06"/>
    <w:rsid w:val="6F796F30"/>
    <w:rsid w:val="6F9221E1"/>
    <w:rsid w:val="6F9240A7"/>
    <w:rsid w:val="6FA56E12"/>
    <w:rsid w:val="6FB15344"/>
    <w:rsid w:val="6FBE410D"/>
    <w:rsid w:val="6FC21D07"/>
    <w:rsid w:val="6FC36FAE"/>
    <w:rsid w:val="6FCF4D71"/>
    <w:rsid w:val="6FD46E0C"/>
    <w:rsid w:val="6FF775D8"/>
    <w:rsid w:val="70080B49"/>
    <w:rsid w:val="70516D08"/>
    <w:rsid w:val="70570E1A"/>
    <w:rsid w:val="708648C1"/>
    <w:rsid w:val="709B4FEE"/>
    <w:rsid w:val="70AD0691"/>
    <w:rsid w:val="70FA034E"/>
    <w:rsid w:val="7101308B"/>
    <w:rsid w:val="711166D3"/>
    <w:rsid w:val="71161D09"/>
    <w:rsid w:val="71216BBE"/>
    <w:rsid w:val="71233B0F"/>
    <w:rsid w:val="71392ADD"/>
    <w:rsid w:val="714D0D49"/>
    <w:rsid w:val="71616D30"/>
    <w:rsid w:val="71734624"/>
    <w:rsid w:val="719344DF"/>
    <w:rsid w:val="719A3020"/>
    <w:rsid w:val="71A77563"/>
    <w:rsid w:val="71AA16BE"/>
    <w:rsid w:val="71AD2C10"/>
    <w:rsid w:val="71CD080B"/>
    <w:rsid w:val="71D240B7"/>
    <w:rsid w:val="71D64B5A"/>
    <w:rsid w:val="71FB6CDF"/>
    <w:rsid w:val="72142993"/>
    <w:rsid w:val="72143476"/>
    <w:rsid w:val="72474D5B"/>
    <w:rsid w:val="72483CF1"/>
    <w:rsid w:val="725D3E8F"/>
    <w:rsid w:val="72851DEB"/>
    <w:rsid w:val="728E3DEF"/>
    <w:rsid w:val="72B047C6"/>
    <w:rsid w:val="72BF16C7"/>
    <w:rsid w:val="72D20A64"/>
    <w:rsid w:val="72D76E62"/>
    <w:rsid w:val="72E65625"/>
    <w:rsid w:val="7301252E"/>
    <w:rsid w:val="73251318"/>
    <w:rsid w:val="732C523D"/>
    <w:rsid w:val="739865C5"/>
    <w:rsid w:val="73B245EA"/>
    <w:rsid w:val="73F23E56"/>
    <w:rsid w:val="73F71354"/>
    <w:rsid w:val="740E2B1F"/>
    <w:rsid w:val="74173A6B"/>
    <w:rsid w:val="74272B18"/>
    <w:rsid w:val="74422EB7"/>
    <w:rsid w:val="7457003A"/>
    <w:rsid w:val="745C01E7"/>
    <w:rsid w:val="74692974"/>
    <w:rsid w:val="749012EB"/>
    <w:rsid w:val="74905CD8"/>
    <w:rsid w:val="74944100"/>
    <w:rsid w:val="74954C38"/>
    <w:rsid w:val="74A64C94"/>
    <w:rsid w:val="74D41C94"/>
    <w:rsid w:val="74E9533D"/>
    <w:rsid w:val="75446734"/>
    <w:rsid w:val="75564A84"/>
    <w:rsid w:val="75613F6E"/>
    <w:rsid w:val="75650385"/>
    <w:rsid w:val="7568449E"/>
    <w:rsid w:val="759D46E9"/>
    <w:rsid w:val="75AE1F7F"/>
    <w:rsid w:val="75C1589D"/>
    <w:rsid w:val="75F4403B"/>
    <w:rsid w:val="75F51476"/>
    <w:rsid w:val="76234FBD"/>
    <w:rsid w:val="76692CB4"/>
    <w:rsid w:val="768723BA"/>
    <w:rsid w:val="76944B58"/>
    <w:rsid w:val="769526AC"/>
    <w:rsid w:val="769F7D4A"/>
    <w:rsid w:val="76B63D5A"/>
    <w:rsid w:val="76BB3F0E"/>
    <w:rsid w:val="76BE5C15"/>
    <w:rsid w:val="76BF2FBF"/>
    <w:rsid w:val="76D325B6"/>
    <w:rsid w:val="76E15DD6"/>
    <w:rsid w:val="76EF0C20"/>
    <w:rsid w:val="772D243F"/>
    <w:rsid w:val="776F2E7A"/>
    <w:rsid w:val="778C335B"/>
    <w:rsid w:val="77C3294D"/>
    <w:rsid w:val="77DD430B"/>
    <w:rsid w:val="780047D1"/>
    <w:rsid w:val="78050B7A"/>
    <w:rsid w:val="781439A5"/>
    <w:rsid w:val="78745E6E"/>
    <w:rsid w:val="78795438"/>
    <w:rsid w:val="78823541"/>
    <w:rsid w:val="78A12C82"/>
    <w:rsid w:val="78A90C75"/>
    <w:rsid w:val="78A91FA6"/>
    <w:rsid w:val="78C67999"/>
    <w:rsid w:val="78DF72B3"/>
    <w:rsid w:val="78E50124"/>
    <w:rsid w:val="79180611"/>
    <w:rsid w:val="7951296C"/>
    <w:rsid w:val="796E03CF"/>
    <w:rsid w:val="7974454E"/>
    <w:rsid w:val="797647B8"/>
    <w:rsid w:val="797818F0"/>
    <w:rsid w:val="79AD0F91"/>
    <w:rsid w:val="79B67E16"/>
    <w:rsid w:val="79B76A30"/>
    <w:rsid w:val="79D71C26"/>
    <w:rsid w:val="79DA72C4"/>
    <w:rsid w:val="79FE3DE8"/>
    <w:rsid w:val="7A182932"/>
    <w:rsid w:val="7A3B2456"/>
    <w:rsid w:val="7A80597A"/>
    <w:rsid w:val="7A8C6520"/>
    <w:rsid w:val="7AB317B4"/>
    <w:rsid w:val="7AB64D3E"/>
    <w:rsid w:val="7AB7675B"/>
    <w:rsid w:val="7AC52CCB"/>
    <w:rsid w:val="7AD407A0"/>
    <w:rsid w:val="7AD519CA"/>
    <w:rsid w:val="7AE100FB"/>
    <w:rsid w:val="7B00341F"/>
    <w:rsid w:val="7B051B65"/>
    <w:rsid w:val="7B173E9B"/>
    <w:rsid w:val="7B385D52"/>
    <w:rsid w:val="7B3E21B1"/>
    <w:rsid w:val="7B46231E"/>
    <w:rsid w:val="7B522D4D"/>
    <w:rsid w:val="7B581BAC"/>
    <w:rsid w:val="7B5B161C"/>
    <w:rsid w:val="7B6608E4"/>
    <w:rsid w:val="7B7701BA"/>
    <w:rsid w:val="7B930544"/>
    <w:rsid w:val="7BA11190"/>
    <w:rsid w:val="7BB522D3"/>
    <w:rsid w:val="7BC00F8B"/>
    <w:rsid w:val="7BC8200B"/>
    <w:rsid w:val="7BED5619"/>
    <w:rsid w:val="7C11332D"/>
    <w:rsid w:val="7C165B89"/>
    <w:rsid w:val="7C1C3059"/>
    <w:rsid w:val="7C213D9A"/>
    <w:rsid w:val="7C267F17"/>
    <w:rsid w:val="7C282F0F"/>
    <w:rsid w:val="7C2A682C"/>
    <w:rsid w:val="7C63472B"/>
    <w:rsid w:val="7C872CDF"/>
    <w:rsid w:val="7C876B58"/>
    <w:rsid w:val="7CBB32B2"/>
    <w:rsid w:val="7CC73207"/>
    <w:rsid w:val="7CDA1C6C"/>
    <w:rsid w:val="7CDB5427"/>
    <w:rsid w:val="7CF701A8"/>
    <w:rsid w:val="7D1557DB"/>
    <w:rsid w:val="7D2339F7"/>
    <w:rsid w:val="7D51065C"/>
    <w:rsid w:val="7D573759"/>
    <w:rsid w:val="7D7F1AE4"/>
    <w:rsid w:val="7D8A0943"/>
    <w:rsid w:val="7DA67695"/>
    <w:rsid w:val="7DAA2098"/>
    <w:rsid w:val="7DAF173B"/>
    <w:rsid w:val="7DCB1EDB"/>
    <w:rsid w:val="7DE46DAE"/>
    <w:rsid w:val="7E092125"/>
    <w:rsid w:val="7E146FA0"/>
    <w:rsid w:val="7E196910"/>
    <w:rsid w:val="7E2B2E6F"/>
    <w:rsid w:val="7E2C5444"/>
    <w:rsid w:val="7E400293"/>
    <w:rsid w:val="7E4B1CC8"/>
    <w:rsid w:val="7E671992"/>
    <w:rsid w:val="7E6E09C6"/>
    <w:rsid w:val="7E6E6AED"/>
    <w:rsid w:val="7E741761"/>
    <w:rsid w:val="7EB6292A"/>
    <w:rsid w:val="7EE6012D"/>
    <w:rsid w:val="7EF62BCD"/>
    <w:rsid w:val="7F140B8A"/>
    <w:rsid w:val="7F313EA0"/>
    <w:rsid w:val="7F354263"/>
    <w:rsid w:val="7F4923A2"/>
    <w:rsid w:val="7F4B59BB"/>
    <w:rsid w:val="7FA556D4"/>
    <w:rsid w:val="7FD9336C"/>
    <w:rsid w:val="7FE82AE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Yu Mincho" w:cs="Times New Roman"/>
      <w:sz w:val="22"/>
      <w:lang w:val="en-GB" w:eastAsia="en-US" w:bidi="ar-SA"/>
    </w:rPr>
  </w:style>
  <w:style w:type="paragraph" w:styleId="2">
    <w:name w:val="heading 1"/>
    <w:next w:val="1"/>
    <w:link w:val="224"/>
    <w:qFormat/>
    <w:uiPriority w:val="0"/>
    <w:pPr>
      <w:keepNext/>
      <w:keepLines/>
      <w:numPr>
        <w:ilvl w:val="0"/>
        <w:numId w:val="1"/>
      </w:numPr>
      <w:pBdr>
        <w:top w:val="single" w:color="auto" w:sz="12" w:space="3"/>
      </w:pBdr>
      <w:spacing w:before="240" w:after="180"/>
      <w:outlineLvl w:val="0"/>
    </w:pPr>
    <w:rPr>
      <w:rFonts w:ascii="Arial" w:hAnsi="Arial" w:eastAsia="Yu Mincho" w:cs="Times New Roman"/>
      <w:sz w:val="36"/>
      <w:lang w:val="en-GB" w:eastAsia="en-US" w:bidi="ar-SA"/>
    </w:rPr>
  </w:style>
  <w:style w:type="paragraph" w:styleId="3">
    <w:name w:val="heading 2"/>
    <w:basedOn w:val="2"/>
    <w:next w:val="1"/>
    <w:link w:val="241"/>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39"/>
    <w:qFormat/>
    <w:uiPriority w:val="0"/>
    <w:pPr>
      <w:numPr>
        <w:ilvl w:val="2"/>
        <w:numId w:val="2"/>
      </w:numPr>
      <w:spacing w:before="120"/>
      <w:outlineLvl w:val="2"/>
    </w:pPr>
  </w:style>
  <w:style w:type="paragraph" w:styleId="5">
    <w:name w:val="heading 4"/>
    <w:basedOn w:val="4"/>
    <w:next w:val="1"/>
    <w:link w:val="223"/>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Yu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26"/>
    <w:semiHidden/>
    <w:qFormat/>
    <w:uiPriority w:val="0"/>
    <w:pPr>
      <w:ind w:left="1418"/>
    </w:pPr>
  </w:style>
  <w:style w:type="paragraph" w:styleId="26">
    <w:name w:val="List Bullet 3"/>
    <w:basedOn w:val="27"/>
    <w:semiHidden/>
    <w:qFormat/>
    <w:uiPriority w:val="0"/>
    <w:pPr>
      <w:ind w:left="1135"/>
    </w:pPr>
  </w:style>
  <w:style w:type="paragraph" w:styleId="27">
    <w:name w:val="List Bullet 2"/>
    <w:basedOn w:val="28"/>
    <w:semiHidden/>
    <w:qFormat/>
    <w:uiPriority w:val="0"/>
    <w:pPr>
      <w:ind w:left="851"/>
    </w:pPr>
  </w:style>
  <w:style w:type="paragraph" w:styleId="28">
    <w:name w:val="List Bullet"/>
    <w:basedOn w:val="14"/>
    <w:semiHidden/>
    <w:qFormat/>
    <w:uiPriority w:val="0"/>
    <w:pPr>
      <w:numPr>
        <w:ilvl w:val="0"/>
        <w:numId w:val="0"/>
      </w:numPr>
    </w:pPr>
  </w:style>
  <w:style w:type="paragraph" w:styleId="29">
    <w:name w:val="E-mail Signature"/>
    <w:basedOn w:val="1"/>
    <w:semiHidden/>
    <w:qFormat/>
    <w:uiPriority w:val="0"/>
  </w:style>
  <w:style w:type="paragraph" w:styleId="30">
    <w:name w:val="Normal Indent"/>
    <w:basedOn w:val="1"/>
    <w:semiHidden/>
    <w:qFormat/>
    <w:uiPriority w:val="0"/>
    <w:pPr>
      <w:ind w:firstLine="420" w:firstLineChars="200"/>
    </w:pPr>
  </w:style>
  <w:style w:type="paragraph" w:styleId="31">
    <w:name w:val="caption"/>
    <w:basedOn w:val="1"/>
    <w:next w:val="1"/>
    <w:link w:val="231"/>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2">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3">
    <w:name w:val="Document Map"/>
    <w:basedOn w:val="1"/>
    <w:semiHidden/>
    <w:qFormat/>
    <w:uiPriority w:val="0"/>
    <w:pPr>
      <w:shd w:val="clear" w:color="auto" w:fill="000080"/>
    </w:pPr>
    <w:rPr>
      <w:rFonts w:ascii="Tahoma" w:hAnsi="Tahoma" w:cs="Tahoma"/>
    </w:rPr>
  </w:style>
  <w:style w:type="paragraph" w:styleId="34">
    <w:name w:val="annotation text"/>
    <w:basedOn w:val="1"/>
    <w:semiHidden/>
    <w:qFormat/>
    <w:uiPriority w:val="0"/>
  </w:style>
  <w:style w:type="paragraph" w:styleId="35">
    <w:name w:val="Salutation"/>
    <w:basedOn w:val="1"/>
    <w:next w:val="1"/>
    <w:semiHidden/>
    <w:qFormat/>
    <w:uiPriority w:val="0"/>
  </w:style>
  <w:style w:type="paragraph" w:styleId="36">
    <w:name w:val="Body Text 3"/>
    <w:basedOn w:val="1"/>
    <w:semiHidden/>
    <w:qFormat/>
    <w:uiPriority w:val="0"/>
    <w:pPr>
      <w:spacing w:after="120"/>
    </w:pPr>
    <w:rPr>
      <w:sz w:val="16"/>
      <w:szCs w:val="16"/>
    </w:rPr>
  </w:style>
  <w:style w:type="paragraph" w:styleId="37">
    <w:name w:val="Closing"/>
    <w:basedOn w:val="1"/>
    <w:semiHidden/>
    <w:qFormat/>
    <w:uiPriority w:val="0"/>
    <w:pPr>
      <w:ind w:left="100" w:leftChars="2100"/>
    </w:pPr>
  </w:style>
  <w:style w:type="paragraph" w:styleId="38">
    <w:name w:val="Body Text"/>
    <w:basedOn w:val="1"/>
    <w:link w:val="217"/>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30"/>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semiHidden/>
    <w:qFormat/>
    <w:uiPriority w:val="0"/>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4"/>
    <w:next w:val="34"/>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semiHidden/>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Heading 1b"/>
    <w:basedOn w:val="2"/>
    <w:qFormat/>
    <w:uiPriority w:val="0"/>
    <w:pPr>
      <w:numPr>
        <w:ilvl w:val="0"/>
        <w:numId w:val="6"/>
      </w:numPr>
    </w:pPr>
  </w:style>
  <w:style w:type="paragraph" w:customStyle="1" w:styleId="139">
    <w:name w:val="TAL Char Char"/>
    <w:basedOn w:val="1"/>
    <w:link w:val="233"/>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40">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41">
    <w:name w:val="ZB"/>
    <w:semiHidden/>
    <w:qFormat/>
    <w:uiPriority w:val="0"/>
    <w:pPr>
      <w:framePr w:w="10206" w:h="284" w:hRule="exact" w:wrap="notBeside" w:vAnchor="page" w:hAnchor="margin" w:y="1986"/>
      <w:widowControl w:val="0"/>
      <w:ind w:right="28"/>
      <w:jc w:val="right"/>
    </w:pPr>
    <w:rPr>
      <w:rFonts w:ascii="Arial" w:hAnsi="Arial" w:eastAsia="Yu Mincho" w:cs="Times New Roman"/>
      <w:i/>
      <w:lang w:val="en-GB" w:eastAsia="en-US" w:bidi="ar-SA"/>
    </w:rPr>
  </w:style>
  <w:style w:type="paragraph" w:customStyle="1" w:styleId="142">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43">
    <w:name w:val="EX"/>
    <w:basedOn w:val="1"/>
    <w:link w:val="213"/>
    <w:qFormat/>
    <w:uiPriority w:val="0"/>
    <w:pPr>
      <w:keepLines/>
      <w:ind w:left="1702" w:hanging="1418"/>
    </w:pPr>
  </w:style>
  <w:style w:type="paragraph" w:customStyle="1" w:styleId="144">
    <w:name w:val="Reference"/>
    <w:basedOn w:val="1"/>
    <w:qFormat/>
    <w:uiPriority w:val="0"/>
    <w:pPr>
      <w:numPr>
        <w:ilvl w:val="0"/>
        <w:numId w:val="7"/>
      </w:numPr>
      <w:overflowPunct w:val="0"/>
      <w:autoSpaceDE w:val="0"/>
      <w:autoSpaceDN w:val="0"/>
      <w:adjustRightInd w:val="0"/>
      <w:ind w:right="-99"/>
      <w:textAlignment w:val="baseline"/>
    </w:pPr>
  </w:style>
  <w:style w:type="paragraph" w:customStyle="1" w:styleId="145">
    <w:name w:val="B5"/>
    <w:basedOn w:val="60"/>
    <w:semiHidden/>
    <w:qFormat/>
    <w:uiPriority w:val="0"/>
  </w:style>
  <w:style w:type="paragraph" w:customStyle="1" w:styleId="146">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Guidance"/>
    <w:basedOn w:val="1"/>
    <w:link w:val="220"/>
    <w:qFormat/>
    <w:uiPriority w:val="0"/>
    <w:rPr>
      <w:rFonts w:eastAsia="Times New Roman"/>
      <w:i/>
      <w:color w:val="0000FF"/>
      <w:sz w:val="20"/>
    </w:rPr>
  </w:style>
  <w:style w:type="paragraph" w:customStyle="1" w:styleId="148">
    <w:name w:val="TH"/>
    <w:basedOn w:val="149"/>
    <w:next w:val="149"/>
    <w:link w:val="234"/>
    <w:qFormat/>
    <w:uiPriority w:val="0"/>
    <w:pPr>
      <w:keepNext/>
      <w:keepLines/>
      <w:spacing w:before="60"/>
      <w:jc w:val="center"/>
    </w:pPr>
    <w:rPr>
      <w:rFonts w:ascii="Arial" w:hAnsi="Arial" w:cs="Arial"/>
      <w:b w:val="0"/>
      <w:color w:val="0000FF"/>
      <w:kern w:val="2"/>
    </w:rPr>
  </w:style>
  <w:style w:type="paragraph" w:customStyle="1" w:styleId="149">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0">
    <w:name w:val="text intend 2"/>
    <w:basedOn w:val="1"/>
    <w:qFormat/>
    <w:uiPriority w:val="0"/>
    <w:pPr>
      <w:numPr>
        <w:ilvl w:val="0"/>
        <w:numId w:val="8"/>
      </w:numPr>
      <w:overflowPunct w:val="0"/>
      <w:autoSpaceDE w:val="0"/>
      <w:autoSpaceDN w:val="0"/>
      <w:adjustRightInd w:val="0"/>
      <w:spacing w:after="120"/>
      <w:jc w:val="both"/>
      <w:textAlignment w:val="baseline"/>
    </w:pPr>
    <w:rPr>
      <w:sz w:val="24"/>
      <w:lang w:val="en-US" w:eastAsia="ja-JP"/>
    </w:rPr>
  </w:style>
  <w:style w:type="paragraph" w:customStyle="1" w:styleId="151">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52">
    <w:name w:val="ZH"/>
    <w:semiHidden/>
    <w:qFormat/>
    <w:uiPriority w:val="0"/>
    <w:pPr>
      <w:framePr w:wrap="notBeside" w:vAnchor="page" w:hAnchor="margin" w:xAlign="center" w:y="6805"/>
      <w:widowControl w:val="0"/>
    </w:pPr>
    <w:rPr>
      <w:rFonts w:ascii="Arial" w:hAnsi="Arial" w:eastAsia="Yu Mincho" w:cs="Times New Roman"/>
      <w:lang w:val="en-GB" w:eastAsia="en-US" w:bidi="ar-SA"/>
    </w:rPr>
  </w:style>
  <w:style w:type="paragraph" w:customStyle="1" w:styleId="153">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54">
    <w:name w:val="ZG"/>
    <w:semiHidden/>
    <w:qFormat/>
    <w:uiPriority w:val="0"/>
    <w:pPr>
      <w:framePr w:wrap="notBeside" w:vAnchor="page" w:hAnchor="margin" w:xAlign="right" w:y="6805"/>
      <w:widowControl w:val="0"/>
      <w:jc w:val="right"/>
    </w:pPr>
    <w:rPr>
      <w:rFonts w:ascii="Arial" w:hAnsi="Arial" w:eastAsia="Yu Mincho" w:cs="Times New Roman"/>
      <w:lang w:val="en-GB" w:eastAsia="en-US" w:bidi="ar-SA"/>
    </w:rPr>
  </w:style>
  <w:style w:type="paragraph" w:customStyle="1" w:styleId="155">
    <w:name w:val="ZU"/>
    <w:semiHidden/>
    <w:qFormat/>
    <w:uiPriority w:val="0"/>
    <w:pPr>
      <w:framePr w:w="10206" w:wrap="notBeside" w:vAnchor="page" w:hAnchor="margin" w:y="6238"/>
      <w:widowControl w:val="0"/>
      <w:pBdr>
        <w:top w:val="single" w:color="auto" w:sz="12" w:space="1"/>
      </w:pBdr>
      <w:jc w:val="right"/>
    </w:pPr>
    <w:rPr>
      <w:rFonts w:ascii="Arial" w:hAnsi="Arial" w:eastAsia="Yu Mincho" w:cs="Times New Roman"/>
      <w:lang w:val="en-GB" w:eastAsia="en-US" w:bidi="ar-SA"/>
    </w:rPr>
  </w:style>
  <w:style w:type="paragraph" w:customStyle="1" w:styleId="156">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57">
    <w:name w:val="00 BodyText"/>
    <w:basedOn w:val="1"/>
    <w:semiHidden/>
    <w:qFormat/>
    <w:uiPriority w:val="0"/>
    <w:pPr>
      <w:spacing w:after="220"/>
    </w:pPr>
    <w:rPr>
      <w:rFonts w:ascii="Arial" w:hAnsi="Arial"/>
      <w:sz w:val="22"/>
      <w:lang w:val="en-US"/>
    </w:rPr>
  </w:style>
  <w:style w:type="paragraph" w:customStyle="1" w:styleId="158">
    <w:name w:val="B1"/>
    <w:basedOn w:val="14"/>
    <w:link w:val="240"/>
    <w:qFormat/>
    <w:uiPriority w:val="0"/>
    <w:rPr>
      <w:rFonts w:ascii="Arial" w:hAnsi="Arial" w:eastAsia="宋体" w:cs="Arial"/>
      <w:color w:val="0000FF"/>
      <w:kern w:val="2"/>
      <w:sz w:val="20"/>
    </w:rPr>
  </w:style>
  <w:style w:type="paragraph" w:customStyle="1" w:styleId="159">
    <w:name w:val="LD"/>
    <w:semiHidden/>
    <w:qFormat/>
    <w:uiPriority w:val="0"/>
    <w:pPr>
      <w:keepNext/>
      <w:keepLines/>
      <w:spacing w:line="180" w:lineRule="exact"/>
    </w:pPr>
    <w:rPr>
      <w:rFonts w:ascii="MS LineDraw" w:hAnsi="MS LineDraw" w:eastAsia="Yu Mincho" w:cs="Times New Roman"/>
      <w:lang w:val="en-GB" w:eastAsia="en-US" w:bidi="ar-SA"/>
    </w:rPr>
  </w:style>
  <w:style w:type="paragraph" w:customStyle="1" w:styleId="160">
    <w:name w:val="ZV"/>
    <w:basedOn w:val="155"/>
    <w:semiHidden/>
    <w:qFormat/>
    <w:uiPriority w:val="0"/>
    <w:pPr>
      <w:framePr w:y="16161"/>
    </w:pPr>
  </w:style>
  <w:style w:type="paragraph" w:customStyle="1" w:styleId="161">
    <w:name w:val="TF"/>
    <w:basedOn w:val="148"/>
    <w:semiHidden/>
    <w:qFormat/>
    <w:uiPriority w:val="0"/>
    <w:pPr>
      <w:keepNext w:val="0"/>
      <w:keepLines/>
      <w:spacing w:before="0" w:after="240"/>
    </w:pPr>
  </w:style>
  <w:style w:type="paragraph" w:customStyle="1" w:styleId="162">
    <w:name w:val="ZD"/>
    <w:semiHidden/>
    <w:qFormat/>
    <w:uiPriority w:val="0"/>
    <w:pPr>
      <w:framePr w:wrap="notBeside" w:vAnchor="page" w:hAnchor="margin" w:y="15764"/>
      <w:widowControl w:val="0"/>
    </w:pPr>
    <w:rPr>
      <w:rFonts w:ascii="Arial" w:hAnsi="Arial" w:eastAsia="Yu Mincho" w:cs="Times New Roman"/>
      <w:sz w:val="32"/>
      <w:lang w:val="en-GB" w:eastAsia="en-US" w:bidi="ar-SA"/>
    </w:rPr>
  </w:style>
  <w:style w:type="paragraph" w:customStyle="1" w:styleId="163">
    <w:name w:val="B2"/>
    <w:basedOn w:val="13"/>
    <w:link w:val="229"/>
    <w:semiHidden/>
    <w:qFormat/>
    <w:uiPriority w:val="0"/>
    <w:rPr>
      <w:rFonts w:ascii="Arial" w:hAnsi="Arial" w:eastAsia="宋体" w:cs="Arial"/>
      <w:color w:val="0000FF"/>
      <w:kern w:val="2"/>
      <w:sz w:val="20"/>
    </w:rPr>
  </w:style>
  <w:style w:type="paragraph" w:customStyle="1" w:styleId="164">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65">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66">
    <w:name w:val="CR Cover Page"/>
    <w:qFormat/>
    <w:uiPriority w:val="0"/>
    <w:pPr>
      <w:spacing w:after="120"/>
    </w:pPr>
    <w:rPr>
      <w:rFonts w:ascii="Arial" w:hAnsi="Arial" w:eastAsia="Yu Mincho" w:cs="Times New Roman"/>
      <w:lang w:val="en-GB" w:eastAsia="en-US" w:bidi="ar-SA"/>
    </w:rPr>
  </w:style>
  <w:style w:type="paragraph" w:customStyle="1" w:styleId="167">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168">
    <w:name w:val="EQ"/>
    <w:basedOn w:val="1"/>
    <w:next w:val="1"/>
    <w:semiHidden/>
    <w:qFormat/>
    <w:uiPriority w:val="0"/>
    <w:pPr>
      <w:keepLines/>
      <w:tabs>
        <w:tab w:val="center" w:pos="4536"/>
        <w:tab w:val="right" w:pos="9072"/>
      </w:tabs>
    </w:pPr>
  </w:style>
  <w:style w:type="paragraph" w:customStyle="1" w:styleId="169">
    <w:name w:val="MTDisplayEquation"/>
    <w:basedOn w:val="1"/>
    <w:semiHidden/>
    <w:qFormat/>
    <w:uiPriority w:val="0"/>
    <w:pPr>
      <w:tabs>
        <w:tab w:val="center" w:pos="4820"/>
        <w:tab w:val="right" w:pos="9640"/>
      </w:tabs>
    </w:pPr>
    <w:rPr>
      <w:lang w:val="en-US"/>
    </w:rPr>
  </w:style>
  <w:style w:type="paragraph" w:customStyle="1" w:styleId="170">
    <w:name w:val="TAN"/>
    <w:basedOn w:val="171"/>
    <w:link w:val="225"/>
    <w:qFormat/>
    <w:uiPriority w:val="0"/>
    <w:pPr>
      <w:ind w:left="851" w:hanging="851"/>
    </w:pPr>
  </w:style>
  <w:style w:type="paragraph" w:customStyle="1" w:styleId="171">
    <w:name w:val="TAL"/>
    <w:basedOn w:val="1"/>
    <w:link w:val="232"/>
    <w:qFormat/>
    <w:uiPriority w:val="0"/>
    <w:pPr>
      <w:keepNext/>
      <w:keepLines/>
      <w:spacing w:after="0"/>
    </w:pPr>
    <w:rPr>
      <w:rFonts w:ascii="Arial" w:hAnsi="Arial" w:eastAsia="宋体" w:cs="Arial"/>
      <w:color w:val="0000FF"/>
      <w:kern w:val="2"/>
      <w:sz w:val="18"/>
    </w:rPr>
  </w:style>
  <w:style w:type="paragraph" w:customStyle="1" w:styleId="172">
    <w:name w:val="FP"/>
    <w:basedOn w:val="1"/>
    <w:semiHidden/>
    <w:qFormat/>
    <w:uiPriority w:val="0"/>
    <w:pPr>
      <w:spacing w:after="0"/>
    </w:pPr>
  </w:style>
  <w:style w:type="paragraph" w:customStyle="1" w:styleId="173">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4">
    <w:name w:val=" Char Char Char Char Char Char Char Char Char Char Char Char Char Char1 Char Char Char Char Char Char Char Char"/>
    <w:semiHidden/>
    <w:qFormat/>
    <w:uiPriority w:val="0"/>
    <w:pPr>
      <w:keepNext/>
      <w:numPr>
        <w:ilvl w:val="0"/>
        <w:numId w:val="9"/>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75">
    <w:name w:val="EW"/>
    <w:basedOn w:val="143"/>
    <w:qFormat/>
    <w:uiPriority w:val="0"/>
    <w:pPr>
      <w:spacing w:after="0"/>
    </w:pPr>
  </w:style>
  <w:style w:type="paragraph" w:customStyle="1" w:styleId="176">
    <w:name w:val="B3"/>
    <w:basedOn w:val="12"/>
    <w:link w:val="244"/>
    <w:semiHidden/>
    <w:qFormat/>
    <w:uiPriority w:val="0"/>
    <w:rPr>
      <w:rFonts w:ascii="Arial" w:hAnsi="Arial" w:eastAsia="宋体" w:cs="Arial"/>
      <w:color w:val="0000FF"/>
      <w:kern w:val="2"/>
      <w:sz w:val="20"/>
    </w:rPr>
  </w:style>
  <w:style w:type="paragraph" w:customStyle="1" w:styleId="177">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178">
    <w:name w:val="NO"/>
    <w:basedOn w:val="1"/>
    <w:link w:val="242"/>
    <w:qFormat/>
    <w:uiPriority w:val="0"/>
    <w:pPr>
      <w:keepLines/>
      <w:ind w:left="1135" w:hanging="851"/>
    </w:pPr>
    <w:rPr>
      <w:rFonts w:ascii="Arial" w:hAnsi="Arial" w:eastAsia="宋体" w:cs="Arial"/>
      <w:color w:val="0000FF"/>
      <w:kern w:val="2"/>
      <w:sz w:val="20"/>
    </w:rPr>
  </w:style>
  <w:style w:type="paragraph" w:customStyle="1" w:styleId="179">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0">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81">
    <w:name w:val=" Char Char Char Char Char Char Char Char Char Char Char Char Char Char"/>
    <w:basedOn w:val="1"/>
    <w:semiHidden/>
    <w:qFormat/>
    <w:uiPriority w:val="0"/>
    <w:pPr>
      <w:spacing w:after="240" w:afterLines="100"/>
    </w:pPr>
  </w:style>
  <w:style w:type="paragraph" w:customStyle="1" w:styleId="182">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83">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84">
    <w:name w:val="tdoc-header"/>
    <w:semiHidden/>
    <w:qFormat/>
    <w:uiPriority w:val="0"/>
    <w:rPr>
      <w:rFonts w:ascii="Arial" w:hAnsi="Arial" w:eastAsia="Yu Mincho" w:cs="Times New Roman"/>
      <w:sz w:val="24"/>
      <w:lang w:val="en-GB" w:eastAsia="en-US" w:bidi="ar-SA"/>
    </w:rPr>
  </w:style>
  <w:style w:type="paragraph" w:customStyle="1" w:styleId="185">
    <w:name w:val="Proposal"/>
    <w:basedOn w:val="1"/>
    <w:qFormat/>
    <w:uiPriority w:val="0"/>
    <w:rPr>
      <w:b/>
    </w:rPr>
  </w:style>
  <w:style w:type="paragraph" w:customStyle="1" w:styleId="186">
    <w:name w:val="PL"/>
    <w:link w:val="221"/>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87">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8">
    <w:name w:val="Figure"/>
    <w:basedOn w:val="1"/>
    <w:qFormat/>
    <w:uiPriority w:val="0"/>
    <w:pPr>
      <w:numPr>
        <w:ilvl w:val="0"/>
        <w:numId w:val="10"/>
      </w:numPr>
      <w:spacing w:before="180" w:after="240" w:line="280" w:lineRule="atLeast"/>
      <w:jc w:val="center"/>
    </w:pPr>
    <w:rPr>
      <w:rFonts w:ascii="Arial" w:hAnsi="Arial" w:eastAsia="宋体"/>
      <w:b/>
      <w:sz w:val="20"/>
      <w:lang w:val="en-US" w:eastAsia="ja-JP"/>
    </w:rPr>
  </w:style>
  <w:style w:type="paragraph" w:customStyle="1" w:styleId="189">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190">
    <w:name w:val="NW"/>
    <w:basedOn w:val="178"/>
    <w:qFormat/>
    <w:uiPriority w:val="0"/>
    <w:pPr>
      <w:spacing w:after="0"/>
    </w:pPr>
  </w:style>
  <w:style w:type="paragraph" w:customStyle="1" w:styleId="191">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92">
    <w:name w:val="样式 段后: 12 磅"/>
    <w:basedOn w:val="1"/>
    <w:semiHidden/>
    <w:qFormat/>
    <w:uiPriority w:val="0"/>
    <w:pPr>
      <w:spacing w:after="240"/>
    </w:pPr>
    <w:rPr>
      <w:rFonts w:cs="宋体"/>
    </w:rPr>
  </w:style>
  <w:style w:type="paragraph" w:customStyle="1" w:styleId="193">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94">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95">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96">
    <w:name w:val="Editor's Note"/>
    <w:basedOn w:val="178"/>
    <w:link w:val="212"/>
    <w:semiHidden/>
    <w:qFormat/>
    <w:uiPriority w:val="0"/>
    <w:rPr>
      <w:color w:val="FF0000"/>
    </w:rPr>
  </w:style>
  <w:style w:type="paragraph" w:customStyle="1" w:styleId="197">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8">
    <w:name w:val="TAR"/>
    <w:basedOn w:val="171"/>
    <w:qFormat/>
    <w:uiPriority w:val="0"/>
    <w:pPr>
      <w:jc w:val="right"/>
    </w:pPr>
  </w:style>
  <w:style w:type="paragraph" w:customStyle="1" w:styleId="199">
    <w:name w:val="TAH"/>
    <w:basedOn w:val="200"/>
    <w:link w:val="227"/>
    <w:qFormat/>
    <w:uiPriority w:val="0"/>
    <w:rPr>
      <w:b/>
    </w:rPr>
  </w:style>
  <w:style w:type="paragraph" w:customStyle="1" w:styleId="200">
    <w:name w:val="TAC"/>
    <w:basedOn w:val="171"/>
    <w:link w:val="216"/>
    <w:qFormat/>
    <w:uiPriority w:val="0"/>
    <w:pPr>
      <w:jc w:val="center"/>
    </w:pPr>
    <w:rPr>
      <w:rFonts w:eastAsia="MS Mincho"/>
    </w:rPr>
  </w:style>
  <w:style w:type="paragraph" w:customStyle="1" w:styleId="201">
    <w:name w:val="ZT"/>
    <w:qFormat/>
    <w:uiPriority w:val="0"/>
    <w:pPr>
      <w:framePr w:wrap="notBeside" w:vAnchor="margin" w:hAnchor="margin" w:yAlign="center"/>
      <w:widowControl w:val="0"/>
      <w:spacing w:line="240" w:lineRule="atLeast"/>
      <w:jc w:val="right"/>
    </w:pPr>
    <w:rPr>
      <w:rFonts w:ascii="Arial" w:hAnsi="Arial" w:eastAsia="Yu Mincho" w:cs="Times New Roman"/>
      <w:b/>
      <w:sz w:val="34"/>
      <w:lang w:val="en-GB" w:eastAsia="en-US" w:bidi="ar-SA"/>
    </w:rPr>
  </w:style>
  <w:style w:type="paragraph" w:customStyle="1" w:styleId="202">
    <w:name w:val="TT"/>
    <w:basedOn w:val="2"/>
    <w:next w:val="1"/>
    <w:semiHidden/>
    <w:qFormat/>
    <w:uiPriority w:val="0"/>
    <w:pPr>
      <w:outlineLvl w:val="9"/>
    </w:pPr>
  </w:style>
  <w:style w:type="paragraph" w:customStyle="1" w:styleId="203">
    <w:name w:val="NF"/>
    <w:basedOn w:val="178"/>
    <w:semiHidden/>
    <w:qFormat/>
    <w:uiPriority w:val="0"/>
    <w:pPr>
      <w:keepNext/>
      <w:spacing w:after="0"/>
    </w:pPr>
    <w:rPr>
      <w:rFonts w:ascii="Arial" w:hAnsi="Arial"/>
      <w:sz w:val="18"/>
    </w:rPr>
  </w:style>
  <w:style w:type="paragraph" w:customStyle="1" w:styleId="204">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Yu Mincho" w:cs="Times New Roman"/>
      <w:sz w:val="40"/>
      <w:lang w:val="en-GB" w:eastAsia="en-US" w:bidi="ar-SA"/>
    </w:rPr>
  </w:style>
  <w:style w:type="paragraph" w:customStyle="1" w:styleId="205">
    <w:name w:val="B4"/>
    <w:basedOn w:val="61"/>
    <w:link w:val="226"/>
    <w:semiHidden/>
    <w:qFormat/>
    <w:uiPriority w:val="0"/>
    <w:rPr>
      <w:rFonts w:ascii="Arial" w:hAnsi="Arial" w:eastAsia="宋体" w:cs="Arial"/>
      <w:color w:val="0000FF"/>
      <w:kern w:val="2"/>
      <w:sz w:val="20"/>
    </w:rPr>
  </w:style>
  <w:style w:type="paragraph" w:customStyle="1" w:styleId="206">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207">
    <w:name w:val="ZTD"/>
    <w:basedOn w:val="141"/>
    <w:semiHidden/>
    <w:qFormat/>
    <w:uiPriority w:val="0"/>
    <w:pPr>
      <w:framePr w:hRule="auto" w:y="852"/>
    </w:pPr>
    <w:rPr>
      <w:i w:val="0"/>
      <w:sz w:val="40"/>
    </w:rPr>
  </w:style>
  <w:style w:type="paragraph" w:customStyle="1" w:styleId="208">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209">
    <w:name w:val="样式 (中文) 宋体 段后: 12 磅"/>
    <w:basedOn w:val="1"/>
    <w:semiHidden/>
    <w:qFormat/>
    <w:uiPriority w:val="0"/>
    <w:pPr>
      <w:spacing w:after="240"/>
    </w:pPr>
    <w:rPr>
      <w:rFonts w:eastAsia="宋体" w:cs="宋体"/>
    </w:rPr>
  </w:style>
  <w:style w:type="paragraph" w:customStyle="1" w:styleId="210">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paragraph" w:customStyle="1" w:styleId="211">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212">
    <w:name w:val="Editor's Note Char"/>
    <w:link w:val="196"/>
    <w:qFormat/>
    <w:uiPriority w:val="0"/>
    <w:rPr>
      <w:rFonts w:ascii="Arial" w:hAnsi="Arial" w:eastAsia="宋体" w:cs="Arial"/>
      <w:color w:val="FF0000"/>
      <w:kern w:val="2"/>
      <w:lang w:val="en-GB" w:eastAsia="en-US" w:bidi="ar-SA"/>
    </w:rPr>
  </w:style>
  <w:style w:type="character" w:customStyle="1" w:styleId="213">
    <w:name w:val="EX Char"/>
    <w:link w:val="143"/>
    <w:qFormat/>
    <w:locked/>
    <w:uiPriority w:val="0"/>
    <w:rPr>
      <w:sz w:val="22"/>
      <w:lang w:val="en-GB" w:eastAsia="en-US"/>
    </w:rPr>
  </w:style>
  <w:style w:type="character" w:customStyle="1" w:styleId="214">
    <w:name w:val="ZGSM"/>
    <w:qFormat/>
    <w:uiPriority w:val="0"/>
  </w:style>
  <w:style w:type="character" w:customStyle="1" w:styleId="215">
    <w:name w:val="font31"/>
    <w:basedOn w:val="121"/>
    <w:qFormat/>
    <w:uiPriority w:val="0"/>
    <w:rPr>
      <w:rFonts w:hint="default" w:ascii="Arial" w:hAnsi="Arial" w:cs="Arial"/>
      <w:color w:val="000000"/>
      <w:sz w:val="18"/>
      <w:szCs w:val="18"/>
      <w:u w:val="none"/>
    </w:rPr>
  </w:style>
  <w:style w:type="character" w:customStyle="1" w:styleId="216">
    <w:name w:val="TAC Char"/>
    <w:link w:val="200"/>
    <w:qFormat/>
    <w:uiPriority w:val="0"/>
    <w:rPr>
      <w:rFonts w:ascii="Arial" w:hAnsi="Arial" w:eastAsia="MS Mincho" w:cs="Arial"/>
      <w:color w:val="0000FF"/>
      <w:kern w:val="2"/>
      <w:sz w:val="18"/>
      <w:lang w:val="en-GB" w:eastAsia="en-US" w:bidi="ar-SA"/>
    </w:rPr>
  </w:style>
  <w:style w:type="character" w:customStyle="1" w:styleId="217">
    <w:name w:val="正文文本 Char"/>
    <w:link w:val="38"/>
    <w:qFormat/>
    <w:uiPriority w:val="0"/>
    <w:rPr>
      <w:rFonts w:ascii="Arial" w:hAnsi="Arial" w:eastAsia="宋体" w:cs="Arial"/>
      <w:color w:val="0000FF"/>
      <w:kern w:val="2"/>
      <w:sz w:val="22"/>
      <w:szCs w:val="24"/>
      <w:lang w:val="en-US" w:eastAsia="en-US" w:bidi="ar-SA"/>
    </w:rPr>
  </w:style>
  <w:style w:type="character" w:customStyle="1" w:styleId="218">
    <w:name w:val="B2 Char1"/>
    <w:semiHidden/>
    <w:qFormat/>
    <w:uiPriority w:val="0"/>
    <w:rPr>
      <w:rFonts w:ascii="Arial" w:hAnsi="Arial" w:eastAsia="宋体" w:cs="Arial"/>
      <w:color w:val="0000FF"/>
      <w:kern w:val="2"/>
      <w:lang w:val="en-GB" w:eastAsia="ja-JP" w:bidi="ar-SA"/>
    </w:rPr>
  </w:style>
  <w:style w:type="character" w:customStyle="1" w:styleId="219">
    <w:name w:val="font01"/>
    <w:basedOn w:val="121"/>
    <w:qFormat/>
    <w:uiPriority w:val="0"/>
    <w:rPr>
      <w:rFonts w:hint="default" w:ascii="Arial" w:hAnsi="Arial" w:cs="Arial"/>
      <w:color w:val="000000"/>
      <w:sz w:val="18"/>
      <w:szCs w:val="18"/>
      <w:u w:val="none"/>
      <w:vertAlign w:val="superscript"/>
    </w:rPr>
  </w:style>
  <w:style w:type="character" w:customStyle="1" w:styleId="220">
    <w:name w:val="Guidance Char"/>
    <w:link w:val="147"/>
    <w:qFormat/>
    <w:uiPriority w:val="0"/>
    <w:rPr>
      <w:rFonts w:eastAsia="Times New Roman"/>
      <w:i/>
      <w:color w:val="0000FF"/>
      <w:lang w:val="en-GB" w:eastAsia="en-US"/>
    </w:rPr>
  </w:style>
  <w:style w:type="character" w:customStyle="1" w:styleId="221">
    <w:name w:val="PL Char"/>
    <w:link w:val="186"/>
    <w:semiHidden/>
    <w:qFormat/>
    <w:uiPriority w:val="0"/>
    <w:rPr>
      <w:rFonts w:ascii="Courier New" w:hAnsi="Courier New" w:eastAsia="宋体" w:cs="Arial"/>
      <w:color w:val="0000FF"/>
      <w:kern w:val="2"/>
      <w:sz w:val="16"/>
      <w:lang w:val="en-GB" w:eastAsia="en-US" w:bidi="ar-SA"/>
    </w:rPr>
  </w:style>
  <w:style w:type="character" w:customStyle="1" w:styleId="222">
    <w:name w:val="font21"/>
    <w:basedOn w:val="121"/>
    <w:qFormat/>
    <w:uiPriority w:val="0"/>
    <w:rPr>
      <w:rFonts w:hint="default" w:ascii="Arial" w:hAnsi="Arial" w:cs="Arial"/>
      <w:color w:val="000000"/>
      <w:sz w:val="18"/>
      <w:szCs w:val="18"/>
      <w:u w:val="none"/>
      <w:vertAlign w:val="superscript"/>
    </w:rPr>
  </w:style>
  <w:style w:type="character" w:customStyle="1" w:styleId="223">
    <w:name w:val="标题 4 Char"/>
    <w:link w:val="5"/>
    <w:qFormat/>
    <w:uiPriority w:val="0"/>
    <w:rPr>
      <w:rFonts w:ascii="Arial" w:hAnsi="Arial"/>
      <w:sz w:val="24"/>
      <w:szCs w:val="28"/>
      <w:lang w:val="en-GB" w:eastAsia="en-US"/>
    </w:rPr>
  </w:style>
  <w:style w:type="character" w:customStyle="1" w:styleId="224">
    <w:name w:val="标题 1 Char"/>
    <w:link w:val="2"/>
    <w:qFormat/>
    <w:uiPriority w:val="0"/>
    <w:rPr>
      <w:rFonts w:ascii="Arial" w:hAnsi="Arial"/>
      <w:sz w:val="36"/>
      <w:lang w:val="en-GB" w:eastAsia="en-US" w:bidi="ar-SA"/>
    </w:rPr>
  </w:style>
  <w:style w:type="character" w:customStyle="1" w:styleId="225">
    <w:name w:val="TAN Char"/>
    <w:link w:val="170"/>
    <w:qFormat/>
    <w:uiPriority w:val="0"/>
    <w:rPr>
      <w:rFonts w:ascii="Arial" w:hAnsi="Arial" w:eastAsia="宋体" w:cs="Arial"/>
      <w:color w:val="0000FF"/>
      <w:kern w:val="2"/>
      <w:sz w:val="18"/>
      <w:lang w:val="en-GB" w:eastAsia="en-US" w:bidi="ar-SA"/>
    </w:rPr>
  </w:style>
  <w:style w:type="character" w:customStyle="1" w:styleId="226">
    <w:name w:val="B4 Char"/>
    <w:link w:val="205"/>
    <w:qFormat/>
    <w:uiPriority w:val="0"/>
    <w:rPr>
      <w:rFonts w:ascii="Arial" w:hAnsi="Arial" w:eastAsia="宋体" w:cs="Arial"/>
      <w:color w:val="0000FF"/>
      <w:kern w:val="2"/>
      <w:lang w:val="en-GB" w:eastAsia="en-US" w:bidi="ar-SA"/>
    </w:rPr>
  </w:style>
  <w:style w:type="character" w:customStyle="1" w:styleId="227">
    <w:name w:val="TAH Car"/>
    <w:link w:val="199"/>
    <w:qFormat/>
    <w:uiPriority w:val="0"/>
    <w:rPr>
      <w:rFonts w:ascii="Arial" w:hAnsi="Arial" w:eastAsia="MS Mincho" w:cs="Arial"/>
      <w:b/>
      <w:color w:val="0000FF"/>
      <w:kern w:val="2"/>
      <w:sz w:val="18"/>
      <w:lang w:val="en-GB" w:eastAsia="en-US" w:bidi="ar-SA"/>
    </w:rPr>
  </w:style>
  <w:style w:type="character" w:customStyle="1" w:styleId="228">
    <w:name w:val="trans"/>
    <w:basedOn w:val="121"/>
    <w:qFormat/>
    <w:uiPriority w:val="0"/>
  </w:style>
  <w:style w:type="character" w:customStyle="1" w:styleId="229">
    <w:name w:val="B2 Char"/>
    <w:link w:val="163"/>
    <w:qFormat/>
    <w:uiPriority w:val="0"/>
    <w:rPr>
      <w:rFonts w:ascii="Arial" w:hAnsi="Arial" w:eastAsia="宋体" w:cs="Arial"/>
      <w:color w:val="0000FF"/>
      <w:kern w:val="2"/>
      <w:lang w:val="en-GB" w:eastAsia="en-US" w:bidi="ar-SA"/>
    </w:rPr>
  </w:style>
  <w:style w:type="character" w:customStyle="1" w:styleId="230">
    <w:name w:val="页眉 Char"/>
    <w:basedOn w:val="121"/>
    <w:link w:val="53"/>
    <w:qFormat/>
    <w:uiPriority w:val="0"/>
    <w:rPr>
      <w:b/>
      <w:sz w:val="18"/>
      <w:lang w:val="en-GB" w:eastAsia="en-US"/>
    </w:rPr>
  </w:style>
  <w:style w:type="character" w:customStyle="1" w:styleId="231">
    <w:name w:val="题注 Char"/>
    <w:link w:val="31"/>
    <w:qFormat/>
    <w:uiPriority w:val="0"/>
    <w:rPr>
      <w:rFonts w:ascii="Arial" w:hAnsi="Arial" w:eastAsia="MS Mincho" w:cs="Arial"/>
      <w:b/>
      <w:color w:val="0000FF"/>
      <w:kern w:val="2"/>
      <w:sz w:val="22"/>
      <w:lang w:val="en-US" w:eastAsia="en-US" w:bidi="ar-SA"/>
    </w:rPr>
  </w:style>
  <w:style w:type="character" w:customStyle="1" w:styleId="232">
    <w:name w:val="TAL Car"/>
    <w:link w:val="171"/>
    <w:qFormat/>
    <w:uiPriority w:val="0"/>
    <w:rPr>
      <w:rFonts w:ascii="Arial" w:hAnsi="Arial" w:eastAsia="宋体" w:cs="Arial"/>
      <w:color w:val="0000FF"/>
      <w:kern w:val="2"/>
      <w:sz w:val="18"/>
      <w:lang w:val="en-GB" w:eastAsia="en-US" w:bidi="ar-SA"/>
    </w:rPr>
  </w:style>
  <w:style w:type="character" w:customStyle="1" w:styleId="233">
    <w:name w:val="TAL Char Char Char"/>
    <w:link w:val="139"/>
    <w:qFormat/>
    <w:uiPriority w:val="0"/>
    <w:rPr>
      <w:rFonts w:ascii="Arial" w:hAnsi="Arial" w:eastAsia="宋体" w:cs="Arial"/>
      <w:color w:val="0000FF"/>
      <w:kern w:val="2"/>
      <w:sz w:val="18"/>
      <w:lang w:val="en-GB" w:eastAsia="en-US" w:bidi="ar-SA"/>
    </w:rPr>
  </w:style>
  <w:style w:type="character" w:customStyle="1" w:styleId="234">
    <w:name w:val="TH Char"/>
    <w:link w:val="148"/>
    <w:qFormat/>
    <w:uiPriority w:val="0"/>
    <w:rPr>
      <w:rFonts w:ascii="Arial" w:hAnsi="Arial" w:eastAsia="MS Mincho" w:cs="Arial"/>
      <w:b/>
      <w:color w:val="0000FF"/>
      <w:kern w:val="2"/>
      <w:sz w:val="22"/>
      <w:lang w:val="en-GB" w:eastAsia="en-US" w:bidi="ar-SA"/>
    </w:rPr>
  </w:style>
  <w:style w:type="character" w:customStyle="1" w:styleId="235">
    <w:name w:val="font41"/>
    <w:basedOn w:val="121"/>
    <w:qFormat/>
    <w:uiPriority w:val="0"/>
    <w:rPr>
      <w:rFonts w:hint="default" w:ascii="Arial" w:hAnsi="Arial" w:cs="Arial"/>
      <w:color w:val="FF0000"/>
      <w:sz w:val="18"/>
      <w:szCs w:val="18"/>
      <w:u w:val="none"/>
      <w:vertAlign w:val="superscript"/>
    </w:rPr>
  </w:style>
  <w:style w:type="character" w:customStyle="1" w:styleId="236">
    <w:name w:val="font51"/>
    <w:basedOn w:val="121"/>
    <w:qFormat/>
    <w:uiPriority w:val="0"/>
    <w:rPr>
      <w:rFonts w:hint="default" w:ascii="Arial" w:hAnsi="Arial" w:cs="Arial"/>
      <w:color w:val="FF0000"/>
      <w:sz w:val="18"/>
      <w:szCs w:val="18"/>
      <w:u w:val="none"/>
    </w:rPr>
  </w:style>
  <w:style w:type="character" w:customStyle="1" w:styleId="237">
    <w:name w:val="首标题"/>
    <w:qFormat/>
    <w:uiPriority w:val="0"/>
    <w:rPr>
      <w:rFonts w:ascii="Arial" w:hAnsi="Arial" w:eastAsia="宋体" w:cs="Arial"/>
      <w:color w:val="0000FF"/>
      <w:kern w:val="2"/>
      <w:sz w:val="24"/>
      <w:lang w:val="en-US" w:eastAsia="zh-CN" w:bidi="ar-SA"/>
    </w:rPr>
  </w:style>
  <w:style w:type="character" w:customStyle="1" w:styleId="238">
    <w:name w:val="font11"/>
    <w:basedOn w:val="121"/>
    <w:qFormat/>
    <w:uiPriority w:val="0"/>
    <w:rPr>
      <w:rFonts w:hint="default" w:ascii="Arial" w:hAnsi="Arial" w:cs="Arial"/>
      <w:color w:val="000000"/>
      <w:sz w:val="18"/>
      <w:szCs w:val="18"/>
      <w:u w:val="none"/>
    </w:rPr>
  </w:style>
  <w:style w:type="character" w:customStyle="1" w:styleId="239">
    <w:name w:val="标题 3 Char"/>
    <w:link w:val="4"/>
    <w:qFormat/>
    <w:uiPriority w:val="0"/>
    <w:rPr>
      <w:rFonts w:ascii="Arial" w:hAnsi="Arial"/>
      <w:sz w:val="28"/>
      <w:szCs w:val="28"/>
      <w:lang w:val="en-GB" w:eastAsia="en-US"/>
    </w:rPr>
  </w:style>
  <w:style w:type="character" w:customStyle="1" w:styleId="240">
    <w:name w:val="B1 Char1"/>
    <w:link w:val="158"/>
    <w:qFormat/>
    <w:uiPriority w:val="0"/>
    <w:rPr>
      <w:rFonts w:ascii="Arial" w:hAnsi="Arial" w:eastAsia="宋体" w:cs="Arial"/>
      <w:color w:val="0000FF"/>
      <w:kern w:val="2"/>
      <w:lang w:val="en-GB" w:eastAsia="en-US" w:bidi="ar-SA"/>
    </w:rPr>
  </w:style>
  <w:style w:type="character" w:customStyle="1" w:styleId="241">
    <w:name w:val="标题 2 Char"/>
    <w:link w:val="3"/>
    <w:qFormat/>
    <w:uiPriority w:val="0"/>
    <w:rPr>
      <w:rFonts w:ascii="Arial" w:hAnsi="Arial"/>
      <w:sz w:val="28"/>
      <w:szCs w:val="28"/>
      <w:lang w:val="en-GB" w:eastAsia="en-US"/>
    </w:rPr>
  </w:style>
  <w:style w:type="character" w:customStyle="1" w:styleId="242">
    <w:name w:val="NO Char"/>
    <w:link w:val="178"/>
    <w:qFormat/>
    <w:uiPriority w:val="0"/>
    <w:rPr>
      <w:rFonts w:ascii="Arial" w:hAnsi="Arial" w:eastAsia="宋体" w:cs="Arial"/>
      <w:color w:val="0000FF"/>
      <w:kern w:val="2"/>
      <w:lang w:val="en-GB" w:eastAsia="en-US" w:bidi="ar-SA"/>
    </w:rPr>
  </w:style>
  <w:style w:type="character" w:customStyle="1" w:styleId="243">
    <w:name w:val="TAL Char"/>
    <w:qFormat/>
    <w:uiPriority w:val="0"/>
    <w:rPr>
      <w:rFonts w:ascii="Arial" w:hAnsi="Arial" w:eastAsia="宋体" w:cs="Arial"/>
      <w:color w:val="0000FF"/>
      <w:kern w:val="2"/>
      <w:sz w:val="18"/>
      <w:lang w:val="en-GB" w:eastAsia="en-GB" w:bidi="ar-SA"/>
    </w:rPr>
  </w:style>
  <w:style w:type="character" w:customStyle="1" w:styleId="244">
    <w:name w:val="B3 Char2"/>
    <w:link w:val="176"/>
    <w:qFormat/>
    <w:uiPriority w:val="0"/>
    <w:rPr>
      <w:rFonts w:ascii="Arial" w:hAnsi="Arial" w:eastAsia="宋体" w:cs="Arial"/>
      <w:color w:val="0000FF"/>
      <w:kern w:val="2"/>
      <w:lang w:val="en-GB" w:eastAsia="en-US" w:bidi="ar-SA"/>
    </w:rPr>
  </w:style>
  <w:style w:type="character" w:customStyle="1" w:styleId="245">
    <w:name w:val="B1 Char"/>
    <w:qFormat/>
    <w:uiPriority w:val="0"/>
    <w:rPr>
      <w:rFonts w:ascii="Arial" w:hAnsi="Arial" w:eastAsia="宋体" w:cs="Arial"/>
      <w:color w:val="0000FF"/>
      <w:kern w:val="2"/>
      <w:lang w:val="en-GB" w:eastAsia="en-US" w:bidi="ar-SA"/>
    </w:rPr>
  </w:style>
  <w:style w:type="character" w:customStyle="1" w:styleId="246">
    <w:name w:val="apple-converted-space"/>
    <w:qFormat/>
    <w:uiPriority w:val="0"/>
  </w:style>
  <w:style w:type="paragraph" w:styleId="247">
    <w:name w:val="List Paragraph"/>
    <w:basedOn w:val="1"/>
    <w:qFormat/>
    <w:uiPriority w:val="34"/>
    <w:pPr>
      <w:widowControl w:val="0"/>
      <w:overflowPunct/>
      <w:autoSpaceDE/>
      <w:autoSpaceDN/>
      <w:adjustRightInd/>
      <w:spacing w:after="0" w:line="360" w:lineRule="auto"/>
      <w:ind w:firstLine="420" w:firstLineChars="200"/>
    </w:pPr>
    <w:rPr>
      <w:kern w:val="2"/>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chart" Target="charts/chart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70%20%20No%20RACH%20on%20UL%20SCC%20for%20PDCCH%20order%20case.dot" TargetMode="Externa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D:\3GPP%20RAN4\3GPP%20TSG-RAN%20WG4%20Meeting%20#%252525252520103-e/Draft/EUT&#23610;&#23544;&#24433;&#21709;&#19981;&#30830;&#23450;&#24230;.xlsm"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solidFill>
                <a:latin typeface="+mn-lt"/>
                <a:ea typeface="+mn-ea"/>
                <a:cs typeface="+mn-cs"/>
              </a:defRPr>
            </a:pPr>
            <a:r>
              <a:rPr lang="en-US" altLang="zh-CN">
                <a:solidFill>
                  <a:schemeClr val="tx1"/>
                </a:solidFill>
              </a:rPr>
              <a:t>The relationship between MU value and EUT size</a:t>
            </a:r>
            <a:endParaRPr lang="en-US" altLang="zh-CN">
              <a:solidFill>
                <a:schemeClr val="tx1"/>
              </a:solidFill>
            </a:endParaRPr>
          </a:p>
        </c:rich>
      </c:tx>
      <c:layout/>
      <c:overlay val="0"/>
      <c:spPr>
        <a:noFill/>
        <a:ln>
          <a:noFill/>
        </a:ln>
        <a:effectLst/>
      </c:spPr>
    </c:title>
    <c:autoTitleDeleted val="0"/>
    <c:plotArea>
      <c:layout/>
      <c:scatterChart>
        <c:scatterStyle val="marker"/>
        <c:varyColors val="0"/>
        <c:ser>
          <c:idx val="0"/>
          <c:order val="0"/>
          <c:spPr>
            <a:ln w="19050" cap="rnd">
              <a:no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p>
            </c:tx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xVal>
            <c:numRef>
              <c:f>[EUT尺寸影响不确定度.xlsm]Sheet1!$B$1:$F$1</c:f>
              <c:numCache>
                <c:formatCode>General</c:formatCode>
                <c:ptCount val="5"/>
                <c:pt idx="0">
                  <c:v>2</c:v>
                </c:pt>
                <c:pt idx="1">
                  <c:v>2.2</c:v>
                </c:pt>
                <c:pt idx="2">
                  <c:v>2.5</c:v>
                </c:pt>
                <c:pt idx="3">
                  <c:v>2.8</c:v>
                </c:pt>
                <c:pt idx="4">
                  <c:v>3</c:v>
                </c:pt>
              </c:numCache>
            </c:numRef>
          </c:xVal>
          <c:yVal>
            <c:numRef>
              <c:f>[EUT尺寸影响不确定度.xlsm]Sheet1!$B$2:$F$2</c:f>
              <c:numCache>
                <c:formatCode>0.00_ </c:formatCode>
                <c:ptCount val="5"/>
                <c:pt idx="0">
                  <c:v>6.48708285749458</c:v>
                </c:pt>
                <c:pt idx="1">
                  <c:v>6.762</c:v>
                </c:pt>
                <c:pt idx="2">
                  <c:v>7.048</c:v>
                </c:pt>
                <c:pt idx="3">
                  <c:v>7.37700779449229</c:v>
                </c:pt>
                <c:pt idx="4">
                  <c:v>7.731</c:v>
                </c:pt>
              </c:numCache>
            </c:numRef>
          </c:yVal>
          <c:smooth val="0"/>
        </c:ser>
        <c:dLbls>
          <c:showLegendKey val="0"/>
          <c:showVal val="0"/>
          <c:showCatName val="0"/>
          <c:showSerName val="0"/>
          <c:showPercent val="0"/>
          <c:showBubbleSize val="0"/>
        </c:dLbls>
        <c:axId val="711656889"/>
        <c:axId val="415421491"/>
      </c:scatterChart>
      <c:valAx>
        <c:axId val="711656889"/>
        <c:scaling>
          <c:orientation val="minMax"/>
          <c:max val="3"/>
          <c:min val="2"/>
        </c:scaling>
        <c:delete val="0"/>
        <c:axPos val="b"/>
        <c:title>
          <c:tx>
            <c:rich>
              <a:bodyPr rot="0" spcFirstLastPara="0" vertOverflow="ellipsis" vert="horz" wrap="square" anchor="ctr" anchorCtr="1"/>
              <a:lstStyle/>
              <a:p>
                <a:pPr defTabSz="914400">
                  <a:defRPr lang="zh-CN" sz="1000" b="0" i="0" u="none" strike="noStrike" kern="1200" baseline="0">
                    <a:solidFill>
                      <a:schemeClr val="tx1"/>
                    </a:solidFill>
                    <a:latin typeface="+mn-lt"/>
                    <a:ea typeface="+mn-ea"/>
                    <a:cs typeface="+mn-cs"/>
                  </a:defRPr>
                </a:pPr>
                <a:r>
                  <a:rPr lang="en-US" altLang="zh-CN">
                    <a:solidFill>
                      <a:schemeClr val="tx1"/>
                    </a:solidFill>
                  </a:rPr>
                  <a:t>EUT size (m)</a:t>
                </a:r>
                <a:endParaRPr lang="en-US" altLang="zh-CN">
                  <a:solidFill>
                    <a:schemeClr val="tx1"/>
                  </a:solidFill>
                </a:endParaRPr>
              </a:p>
            </c:rich>
          </c:tx>
          <c:layout/>
          <c:overlay val="0"/>
          <c:spPr>
            <a:noFill/>
            <a:ln>
              <a:noFill/>
            </a:ln>
            <a:effectLst/>
          </c:spPr>
        </c:title>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crossAx val="415421491"/>
        <c:crosses val="autoZero"/>
        <c:crossBetween val="midCat"/>
      </c:valAx>
      <c:valAx>
        <c:axId val="415421491"/>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1000" b="0" i="0" u="none" strike="noStrike" kern="1200" baseline="0">
                    <a:solidFill>
                      <a:schemeClr val="tx1"/>
                    </a:solidFill>
                    <a:latin typeface="+mn-lt"/>
                    <a:ea typeface="+mn-ea"/>
                    <a:cs typeface="+mn-cs"/>
                  </a:defRPr>
                </a:pPr>
                <a:r>
                  <a:rPr lang="en-US" altLang="zh-CN">
                    <a:solidFill>
                      <a:schemeClr val="tx1"/>
                    </a:solidFill>
                  </a:rPr>
                  <a:t> Maximum MU value (dB)</a:t>
                </a:r>
                <a:endParaRPr lang="en-US" altLang="zh-CN">
                  <a:solidFill>
                    <a:schemeClr val="tx1"/>
                  </a:solidFill>
                </a:endParaRPr>
              </a:p>
            </c:rich>
          </c:tx>
          <c:layout/>
          <c:overlay val="0"/>
          <c:spPr>
            <a:noFill/>
            <a:ln>
              <a:noFill/>
            </a:ln>
            <a:effectLst/>
          </c:spPr>
        </c:title>
        <c:numFmt formatCode="0.00_ "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crossAx val="711656889"/>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solidFill>
            <a:schemeClr val="tx1"/>
          </a:solidFill>
        </a:defRPr>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case.dot</Template>
  <Pages>3</Pages>
  <Words>912</Words>
  <Characters>4436</Characters>
  <Lines>20</Lines>
  <Paragraphs>5</Paragraphs>
  <TotalTime>6</TotalTime>
  <ScaleCrop>false</ScaleCrop>
  <LinksUpToDate>false</LinksUpToDate>
  <CharactersWithSpaces>5153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2017-08-22T11:56:00Z</dcterms:created>
  <dc:creator>Wubin, Zhou</dc:creator>
  <cp:keywords>3GPP RAN WG4</cp:keywords>
  <cp:lastModifiedBy>Ma (ZTE)</cp:lastModifiedBy>
  <cp:lastPrinted>2010-03-26T07:51:00Z</cp:lastPrinted>
  <dcterms:modified xsi:type="dcterms:W3CDTF">2022-04-25T11:04:41Z</dcterms:modified>
  <dc:title>3GPP TSG-RAN WG4</dc:title>
  <cp:revision>193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